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sz w:val="52"/>
          <w:szCs w:val="52"/>
        </w:rPr>
      </w:pPr>
    </w:p>
    <w:p>
      <w:pPr>
        <w:pStyle w:val="11"/>
        <w:spacing w:line="1000" w:lineRule="exact"/>
        <w:rPr>
          <w:rFonts w:ascii="黑体" w:hAnsi="宋体" w:eastAsia="黑体"/>
          <w:sz w:val="84"/>
          <w:szCs w:val="84"/>
        </w:rPr>
      </w:pPr>
      <w:r>
        <w:rPr>
          <w:sz w:val="32"/>
          <w:szCs w:val="32"/>
        </w:rPr>
        <w:drawing>
          <wp:anchor distT="0" distB="0" distL="114300" distR="114300" simplePos="0" relativeHeight="251660288" behindDoc="0" locked="0" layoutInCell="1" allowOverlap="1">
            <wp:simplePos x="0" y="0"/>
            <wp:positionH relativeFrom="margin">
              <wp:posOffset>323850</wp:posOffset>
            </wp:positionH>
            <wp:positionV relativeFrom="margin">
              <wp:posOffset>485775</wp:posOffset>
            </wp:positionV>
            <wp:extent cx="5239385" cy="1026795"/>
            <wp:effectExtent l="19050" t="0" r="0" b="0"/>
            <wp:wrapSquare wrapText="bothSides"/>
            <wp:docPr id="5"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0140711新校徽应用"/>
                    <pic:cNvPicPr>
                      <a:picLocks noChangeAspect="1"/>
                    </pic:cNvPicPr>
                  </pic:nvPicPr>
                  <pic:blipFill>
                    <a:blip r:embed="rId6" cstate="print"/>
                    <a:srcRect l="19966" t="78531"/>
                    <a:stretch>
                      <a:fillRect/>
                    </a:stretch>
                  </pic:blipFill>
                  <pic:spPr>
                    <a:xfrm>
                      <a:off x="0" y="0"/>
                      <a:ext cx="5239385" cy="1026795"/>
                    </a:xfrm>
                    <a:prstGeom prst="rect">
                      <a:avLst/>
                    </a:prstGeom>
                    <a:noFill/>
                    <a:ln>
                      <a:noFill/>
                    </a:ln>
                  </pic:spPr>
                </pic:pic>
              </a:graphicData>
            </a:graphic>
          </wp:anchor>
        </w:drawing>
      </w:r>
    </w:p>
    <w:p>
      <w:pPr>
        <w:pStyle w:val="11"/>
        <w:spacing w:line="1000" w:lineRule="exact"/>
        <w:jc w:val="center"/>
        <w:rPr>
          <w:rFonts w:ascii="黑体" w:hAnsi="宋体" w:eastAsia="黑体"/>
          <w:sz w:val="84"/>
          <w:szCs w:val="84"/>
        </w:rPr>
      </w:pPr>
    </w:p>
    <w:p>
      <w:pPr>
        <w:pStyle w:val="11"/>
        <w:spacing w:line="1000" w:lineRule="exact"/>
        <w:jc w:val="center"/>
        <w:outlineLvl w:val="0"/>
        <w:rPr>
          <w:rFonts w:ascii="黑体" w:hAnsi="宋体" w:eastAsia="黑体"/>
          <w:sz w:val="84"/>
          <w:szCs w:val="84"/>
        </w:rPr>
      </w:pPr>
      <w:bookmarkStart w:id="0" w:name="_Toc23667"/>
      <w:r>
        <w:rPr>
          <w:rFonts w:hint="eastAsia" w:ascii="黑体" w:hAnsi="宋体" w:eastAsia="黑体"/>
          <w:sz w:val="84"/>
          <w:szCs w:val="84"/>
        </w:rPr>
        <w:t>询价通知书</w:t>
      </w:r>
      <w:bookmarkEnd w:id="0"/>
    </w:p>
    <w:p>
      <w:pPr>
        <w:pStyle w:val="11"/>
        <w:spacing w:line="500" w:lineRule="exact"/>
        <w:jc w:val="center"/>
        <w:rPr>
          <w:rFonts w:hAnsi="宋体"/>
        </w:rPr>
      </w:pPr>
    </w:p>
    <w:p>
      <w:pPr>
        <w:pStyle w:val="11"/>
        <w:spacing w:line="500" w:lineRule="exact"/>
        <w:jc w:val="center"/>
        <w:rPr>
          <w:rFonts w:hAnsi="宋体"/>
        </w:rPr>
      </w:pPr>
      <w:r>
        <w:rPr>
          <w:rFonts w:hAnsi="宋体"/>
        </w:rPr>
        <w:drawing>
          <wp:anchor distT="0" distB="0" distL="114300" distR="114300" simplePos="0" relativeHeight="251659264" behindDoc="0" locked="0" layoutInCell="1" allowOverlap="1">
            <wp:simplePos x="0" y="0"/>
            <wp:positionH relativeFrom="margin">
              <wp:posOffset>2314575</wp:posOffset>
            </wp:positionH>
            <wp:positionV relativeFrom="margin">
              <wp:posOffset>2838450</wp:posOffset>
            </wp:positionV>
            <wp:extent cx="1718310" cy="1673860"/>
            <wp:effectExtent l="19050" t="0" r="0" b="0"/>
            <wp:wrapSquare wrapText="bothSides"/>
            <wp:docPr id="2"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140711新校徽应用"/>
                    <pic:cNvPicPr>
                      <a:picLocks noChangeAspect="1"/>
                    </pic:cNvPicPr>
                  </pic:nvPicPr>
                  <pic:blipFill>
                    <a:blip r:embed="rId7" cstate="print"/>
                    <a:srcRect l="10931" r="62111" b="64055"/>
                    <a:stretch>
                      <a:fillRect/>
                    </a:stretch>
                  </pic:blipFill>
                  <pic:spPr>
                    <a:xfrm>
                      <a:off x="0" y="0"/>
                      <a:ext cx="1718310" cy="1673860"/>
                    </a:xfrm>
                    <a:prstGeom prst="rect">
                      <a:avLst/>
                    </a:prstGeom>
                    <a:noFill/>
                    <a:ln>
                      <a:noFill/>
                    </a:ln>
                  </pic:spPr>
                </pic:pic>
              </a:graphicData>
            </a:graphic>
          </wp:anchor>
        </w:drawing>
      </w: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spacing w:line="900" w:lineRule="exact"/>
        <w:ind w:left="2017" w:leftChars="100" w:hanging="1807" w:hangingChars="500"/>
        <w:rPr>
          <w:rFonts w:ascii="仿宋" w:hAnsi="仿宋" w:eastAsia="仿宋" w:cs="仿宋"/>
          <w:kern w:val="0"/>
          <w:sz w:val="36"/>
          <w:szCs w:val="36"/>
          <w:u w:val="single"/>
        </w:rPr>
      </w:pPr>
      <w:r>
        <w:rPr>
          <w:rFonts w:hint="eastAsia" w:ascii="仿宋" w:hAnsi="仿宋" w:eastAsia="仿宋" w:cs="仿宋"/>
          <w:b/>
          <w:bCs/>
          <w:kern w:val="0"/>
          <w:sz w:val="36"/>
          <w:szCs w:val="36"/>
        </w:rPr>
        <w:t>项目名称：</w:t>
      </w:r>
      <w:r>
        <w:rPr>
          <w:rFonts w:hint="eastAsia" w:ascii="仿宋" w:hAnsi="仿宋" w:eastAsia="仿宋" w:cs="仿宋"/>
          <w:kern w:val="0"/>
          <w:sz w:val="36"/>
          <w:szCs w:val="36"/>
          <w:u w:val="single"/>
        </w:rPr>
        <w:t xml:space="preserve"> 学院鹏飞、中尧、武鸣校区学生公寓、公共区域化粪池进行定期集中清理服务项目  </w:t>
      </w:r>
      <w:r>
        <w:rPr>
          <w:rFonts w:ascii="仿宋" w:hAnsi="仿宋" w:eastAsia="仿宋" w:cs="仿宋"/>
          <w:kern w:val="0"/>
          <w:sz w:val="36"/>
          <w:szCs w:val="36"/>
          <w:u w:val="single"/>
        </w:rPr>
        <w:t xml:space="preserve">   </w:t>
      </w:r>
      <w:r>
        <w:rPr>
          <w:rFonts w:hint="eastAsia" w:ascii="仿宋" w:hAnsi="仿宋" w:eastAsia="仿宋" w:cs="仿宋"/>
          <w:kern w:val="0"/>
          <w:sz w:val="36"/>
          <w:szCs w:val="36"/>
          <w:u w:val="single"/>
        </w:rPr>
        <w:t xml:space="preserve">      </w:t>
      </w:r>
    </w:p>
    <w:p>
      <w:pPr>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申购单位：</w:t>
      </w:r>
      <w:r>
        <w:rPr>
          <w:rFonts w:hint="eastAsia" w:ascii="仿宋" w:hAnsi="仿宋" w:eastAsia="仿宋" w:cs="仿宋"/>
          <w:kern w:val="0"/>
          <w:sz w:val="36"/>
          <w:szCs w:val="36"/>
          <w:u w:val="single"/>
        </w:rPr>
        <w:t xml:space="preserve">         广西工商职业技术学院       </w:t>
      </w:r>
      <w:r>
        <w:rPr>
          <w:rFonts w:hint="eastAsia" w:ascii="仿宋" w:hAnsi="仿宋" w:eastAsia="仿宋" w:cs="仿宋"/>
          <w:sz w:val="36"/>
          <w:szCs w:val="36"/>
          <w:u w:val="single"/>
        </w:rPr>
        <w:t xml:space="preserve">    </w:t>
      </w:r>
    </w:p>
    <w:p>
      <w:pPr>
        <w:autoSpaceDE w:val="0"/>
        <w:autoSpaceDN w:val="0"/>
        <w:adjustRightInd w:val="0"/>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采购机构：</w:t>
      </w:r>
      <w:r>
        <w:rPr>
          <w:rFonts w:hint="eastAsia" w:ascii="仿宋" w:hAnsi="仿宋" w:eastAsia="仿宋" w:cs="仿宋"/>
          <w:kern w:val="0"/>
          <w:sz w:val="36"/>
          <w:szCs w:val="36"/>
          <w:u w:val="single"/>
        </w:rPr>
        <w:t xml:space="preserve">          国有资产管理处                </w:t>
      </w:r>
    </w:p>
    <w:p>
      <w:pPr>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编制时间：</w:t>
      </w:r>
      <w:r>
        <w:rPr>
          <w:rFonts w:hint="eastAsia" w:ascii="仿宋" w:hAnsi="仿宋" w:eastAsia="仿宋" w:cs="仿宋"/>
          <w:kern w:val="0"/>
          <w:sz w:val="36"/>
          <w:szCs w:val="36"/>
          <w:u w:val="single"/>
        </w:rPr>
        <w:t xml:space="preserve">          </w:t>
      </w:r>
      <w:r>
        <w:rPr>
          <w:rFonts w:hint="eastAsia" w:ascii="仿宋" w:hAnsi="仿宋" w:eastAsia="仿宋" w:cs="仿宋"/>
          <w:sz w:val="36"/>
          <w:szCs w:val="36"/>
          <w:u w:val="single"/>
        </w:rPr>
        <w:t>2023年</w:t>
      </w:r>
      <w:r>
        <w:rPr>
          <w:rFonts w:hint="eastAsia" w:ascii="仿宋" w:hAnsi="仿宋" w:eastAsia="仿宋" w:cs="仿宋"/>
          <w:sz w:val="36"/>
          <w:szCs w:val="36"/>
          <w:u w:val="single"/>
          <w:lang w:val="en-US" w:eastAsia="zh-CN"/>
        </w:rPr>
        <w:t>8</w:t>
      </w:r>
      <w:r>
        <w:rPr>
          <w:rFonts w:hint="eastAsia" w:ascii="仿宋" w:hAnsi="仿宋" w:eastAsia="仿宋" w:cs="仿宋"/>
          <w:sz w:val="36"/>
          <w:szCs w:val="36"/>
          <w:u w:val="single"/>
        </w:rPr>
        <w:t xml:space="preserve">月                   </w:t>
      </w:r>
    </w:p>
    <w:p>
      <w:pPr>
        <w:jc w:val="center"/>
        <w:rPr>
          <w:rFonts w:asciiTheme="majorEastAsia" w:hAnsiTheme="majorEastAsia" w:eastAsiaTheme="majorEastAsia"/>
          <w:b/>
          <w:sz w:val="30"/>
          <w:szCs w:val="30"/>
        </w:rPr>
      </w:pPr>
    </w:p>
    <w:p>
      <w:pPr>
        <w:jc w:val="center"/>
        <w:rPr>
          <w:rFonts w:asciiTheme="majorEastAsia" w:hAnsiTheme="majorEastAsia" w:eastAsiaTheme="majorEastAsia"/>
          <w:b/>
          <w:sz w:val="30"/>
          <w:szCs w:val="30"/>
        </w:rPr>
      </w:pPr>
    </w:p>
    <w:p>
      <w:pPr>
        <w:jc w:val="center"/>
        <w:rPr>
          <w:rFonts w:asciiTheme="majorEastAsia" w:hAnsiTheme="majorEastAsia" w:eastAsiaTheme="majorEastAsia"/>
          <w:b/>
          <w:sz w:val="30"/>
          <w:szCs w:val="30"/>
        </w:rPr>
      </w:pPr>
    </w:p>
    <w:p>
      <w:pPr>
        <w:jc w:val="center"/>
        <w:rPr>
          <w:rFonts w:ascii="宋体" w:hAnsi="宋体"/>
        </w:rPr>
        <w:sectPr>
          <w:pgSz w:w="11906" w:h="16838"/>
          <w:pgMar w:top="1440" w:right="1080" w:bottom="1440" w:left="1080" w:header="851" w:footer="992" w:gutter="0"/>
          <w:cols w:space="425" w:num="1"/>
          <w:docGrid w:type="lines" w:linePitch="312" w:charSpace="0"/>
        </w:sectPr>
      </w:pPr>
    </w:p>
    <w:sdt>
      <w:sdtPr>
        <w:rPr>
          <w:rFonts w:ascii="宋体" w:hAnsi="宋体"/>
        </w:rPr>
        <w:id w:val="147473107"/>
        <w15:color w:val="DBDBDB"/>
        <w:docPartObj>
          <w:docPartGallery w:val="Table of Contents"/>
          <w:docPartUnique/>
        </w:docPartObj>
      </w:sdtPr>
      <w:sdtEndPr>
        <w:rPr>
          <w:rFonts w:hint="eastAsia" w:asciiTheme="majorEastAsia" w:hAnsiTheme="majorEastAsia" w:eastAsiaTheme="majorEastAsia"/>
          <w:szCs w:val="30"/>
        </w:rPr>
      </w:sdtEndPr>
      <w:sdtContent>
        <w:p>
          <w:pPr>
            <w:jc w:val="center"/>
            <w:rPr>
              <w:rFonts w:ascii="宋体" w:hAnsi="宋体" w:cs="宋体"/>
              <w:sz w:val="32"/>
              <w:szCs w:val="32"/>
            </w:rPr>
          </w:pPr>
          <w:r>
            <w:rPr>
              <w:rFonts w:hint="eastAsia" w:ascii="宋体" w:hAnsi="宋体" w:cs="宋体"/>
              <w:sz w:val="32"/>
              <w:szCs w:val="32"/>
            </w:rPr>
            <w:t>目录</w:t>
          </w:r>
        </w:p>
        <w:p>
          <w:pPr>
            <w:pStyle w:val="74"/>
            <w:tabs>
              <w:tab w:val="right" w:leader="dot" w:pos="9746"/>
            </w:tabs>
            <w:rPr>
              <w:rFonts w:ascii="宋体" w:hAnsi="宋体" w:cs="宋体"/>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TOC \o "1-1" \h \u </w:instrText>
          </w:r>
          <w:r>
            <w:rPr>
              <w:rFonts w:hint="eastAsia" w:ascii="宋体" w:hAnsi="宋体" w:cs="宋体"/>
              <w:b/>
              <w:sz w:val="32"/>
              <w:szCs w:val="32"/>
            </w:rPr>
            <w:fldChar w:fldCharType="separate"/>
          </w:r>
          <w:r>
            <w:fldChar w:fldCharType="begin"/>
          </w:r>
          <w:r>
            <w:instrText xml:space="preserve"> HYPERLINK \l "_Toc4522" </w:instrText>
          </w:r>
          <w:r>
            <w:fldChar w:fldCharType="separate"/>
          </w:r>
          <w:r>
            <w:rPr>
              <w:rFonts w:hint="eastAsia" w:ascii="宋体" w:hAnsi="宋体" w:cs="宋体"/>
              <w:bCs/>
              <w:sz w:val="32"/>
              <w:szCs w:val="32"/>
            </w:rPr>
            <w:t>第一章 项目公告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_Toc4522 \h </w:instrText>
          </w:r>
          <w:r>
            <w:rPr>
              <w:rFonts w:hint="eastAsia" w:ascii="宋体" w:hAnsi="宋体" w:cs="宋体"/>
              <w:sz w:val="32"/>
              <w:szCs w:val="32"/>
            </w:rPr>
            <w:fldChar w:fldCharType="separate"/>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fldChar w:fldCharType="end"/>
          </w:r>
        </w:p>
        <w:p>
          <w:pPr>
            <w:pStyle w:val="74"/>
            <w:tabs>
              <w:tab w:val="right" w:leader="dot" w:pos="9746"/>
            </w:tabs>
            <w:rPr>
              <w:rFonts w:ascii="宋体" w:hAnsi="宋体" w:cs="宋体"/>
              <w:sz w:val="32"/>
              <w:szCs w:val="32"/>
            </w:rPr>
          </w:pPr>
          <w:r>
            <w:fldChar w:fldCharType="begin"/>
          </w:r>
          <w:r>
            <w:instrText xml:space="preserve"> HYPERLINK \l "_Toc12753" </w:instrText>
          </w:r>
          <w:r>
            <w:fldChar w:fldCharType="separate"/>
          </w:r>
          <w:r>
            <w:rPr>
              <w:rFonts w:hint="eastAsia" w:ascii="宋体" w:hAnsi="宋体" w:cs="宋体"/>
              <w:bCs/>
              <w:sz w:val="32"/>
              <w:szCs w:val="32"/>
            </w:rPr>
            <w:t>第二章 采购需求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_Toc12753 \h </w:instrText>
          </w:r>
          <w:r>
            <w:rPr>
              <w:rFonts w:hint="eastAsia" w:ascii="宋体" w:hAnsi="宋体" w:cs="宋体"/>
              <w:sz w:val="32"/>
              <w:szCs w:val="32"/>
            </w:rPr>
            <w:fldChar w:fldCharType="separate"/>
          </w:r>
          <w:r>
            <w:rPr>
              <w:rFonts w:hint="eastAsia" w:ascii="宋体" w:hAnsi="宋体" w:cs="宋体"/>
              <w:sz w:val="32"/>
              <w:szCs w:val="32"/>
            </w:rPr>
            <w:t>4</w:t>
          </w:r>
          <w:r>
            <w:rPr>
              <w:rFonts w:hint="eastAsia" w:ascii="宋体" w:hAnsi="宋体" w:cs="宋体"/>
              <w:sz w:val="32"/>
              <w:szCs w:val="32"/>
            </w:rPr>
            <w:fldChar w:fldCharType="end"/>
          </w:r>
          <w:r>
            <w:rPr>
              <w:rFonts w:hint="eastAsia" w:ascii="宋体" w:hAnsi="宋体" w:cs="宋体"/>
              <w:sz w:val="32"/>
              <w:szCs w:val="32"/>
            </w:rPr>
            <w:fldChar w:fldCharType="end"/>
          </w:r>
        </w:p>
        <w:p>
          <w:pPr>
            <w:pStyle w:val="74"/>
            <w:tabs>
              <w:tab w:val="right" w:leader="dot" w:pos="9746"/>
            </w:tabs>
            <w:rPr>
              <w:rFonts w:ascii="宋体" w:hAnsi="宋体" w:cs="宋体"/>
              <w:sz w:val="32"/>
              <w:szCs w:val="32"/>
            </w:rPr>
          </w:pPr>
          <w:r>
            <w:fldChar w:fldCharType="begin"/>
          </w:r>
          <w:r>
            <w:instrText xml:space="preserve"> HYPERLINK \l "_Toc17117" </w:instrText>
          </w:r>
          <w:r>
            <w:fldChar w:fldCharType="separate"/>
          </w:r>
          <w:r>
            <w:rPr>
              <w:rFonts w:hint="eastAsia" w:ascii="宋体" w:hAnsi="宋体" w:cs="宋体"/>
              <w:bCs/>
              <w:sz w:val="32"/>
              <w:szCs w:val="32"/>
            </w:rPr>
            <w:t>第三章 评审办法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_Toc17117 \h </w:instrText>
          </w:r>
          <w:r>
            <w:rPr>
              <w:rFonts w:hint="eastAsia" w:ascii="宋体" w:hAnsi="宋体" w:cs="宋体"/>
              <w:sz w:val="32"/>
              <w:szCs w:val="32"/>
            </w:rPr>
            <w:fldChar w:fldCharType="separate"/>
          </w:r>
          <w:r>
            <w:rPr>
              <w:rFonts w:hint="eastAsia" w:ascii="宋体" w:hAnsi="宋体" w:cs="宋体"/>
              <w:sz w:val="32"/>
              <w:szCs w:val="32"/>
            </w:rPr>
            <w:t>9</w:t>
          </w:r>
          <w:r>
            <w:rPr>
              <w:rFonts w:hint="eastAsia" w:ascii="宋体" w:hAnsi="宋体" w:cs="宋体"/>
              <w:sz w:val="32"/>
              <w:szCs w:val="32"/>
            </w:rPr>
            <w:fldChar w:fldCharType="end"/>
          </w:r>
          <w:r>
            <w:rPr>
              <w:rFonts w:hint="eastAsia" w:ascii="宋体" w:hAnsi="宋体" w:cs="宋体"/>
              <w:sz w:val="32"/>
              <w:szCs w:val="32"/>
            </w:rPr>
            <w:fldChar w:fldCharType="end"/>
          </w:r>
        </w:p>
        <w:p>
          <w:pPr>
            <w:pStyle w:val="74"/>
            <w:tabs>
              <w:tab w:val="right" w:leader="dot" w:pos="9746"/>
            </w:tabs>
            <w:rPr>
              <w:rFonts w:ascii="宋体" w:hAnsi="宋体" w:cs="宋体"/>
              <w:sz w:val="32"/>
              <w:szCs w:val="32"/>
            </w:rPr>
          </w:pPr>
          <w:r>
            <w:fldChar w:fldCharType="begin"/>
          </w:r>
          <w:r>
            <w:instrText xml:space="preserve"> HYPERLINK \l "_Toc1359" </w:instrText>
          </w:r>
          <w:r>
            <w:fldChar w:fldCharType="separate"/>
          </w:r>
          <w:r>
            <w:rPr>
              <w:rFonts w:hint="eastAsia" w:ascii="宋体" w:hAnsi="宋体" w:cs="宋体"/>
              <w:bCs/>
              <w:sz w:val="32"/>
              <w:szCs w:val="32"/>
            </w:rPr>
            <w:t>第四章 响应文件格式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_Toc1359 \h </w:instrText>
          </w:r>
          <w:r>
            <w:rPr>
              <w:rFonts w:hint="eastAsia" w:ascii="宋体" w:hAnsi="宋体" w:cs="宋体"/>
              <w:sz w:val="32"/>
              <w:szCs w:val="32"/>
            </w:rPr>
            <w:fldChar w:fldCharType="separate"/>
          </w:r>
          <w:r>
            <w:rPr>
              <w:rFonts w:hint="eastAsia" w:ascii="宋体" w:hAnsi="宋体" w:cs="宋体"/>
              <w:sz w:val="32"/>
              <w:szCs w:val="32"/>
            </w:rPr>
            <w:t>10</w:t>
          </w:r>
          <w:r>
            <w:rPr>
              <w:rFonts w:hint="eastAsia" w:ascii="宋体" w:hAnsi="宋体" w:cs="宋体"/>
              <w:sz w:val="32"/>
              <w:szCs w:val="32"/>
            </w:rPr>
            <w:fldChar w:fldCharType="end"/>
          </w:r>
          <w:r>
            <w:rPr>
              <w:rFonts w:hint="eastAsia" w:ascii="宋体" w:hAnsi="宋体" w:cs="宋体"/>
              <w:sz w:val="32"/>
              <w:szCs w:val="32"/>
            </w:rPr>
            <w:fldChar w:fldCharType="end"/>
          </w:r>
        </w:p>
        <w:p>
          <w:pPr>
            <w:pStyle w:val="74"/>
            <w:tabs>
              <w:tab w:val="right" w:leader="dot" w:pos="9746"/>
            </w:tabs>
            <w:rPr>
              <w:rFonts w:ascii="宋体" w:hAnsi="宋体" w:cs="宋体"/>
              <w:sz w:val="32"/>
              <w:szCs w:val="32"/>
            </w:rPr>
          </w:pPr>
          <w:r>
            <w:fldChar w:fldCharType="begin"/>
          </w:r>
          <w:r>
            <w:instrText xml:space="preserve"> HYPERLINK \l "_Toc24643" </w:instrText>
          </w:r>
          <w:r>
            <w:fldChar w:fldCharType="separate"/>
          </w:r>
          <w:r>
            <w:rPr>
              <w:rFonts w:hint="eastAsia" w:ascii="宋体" w:hAnsi="宋体" w:cs="宋体"/>
              <w:bCs/>
              <w:sz w:val="32"/>
              <w:szCs w:val="32"/>
            </w:rPr>
            <w:t>第五章 合同主要条款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_Toc24643 \h </w:instrText>
          </w:r>
          <w:r>
            <w:rPr>
              <w:rFonts w:hint="eastAsia" w:ascii="宋体" w:hAnsi="宋体" w:cs="宋体"/>
              <w:sz w:val="32"/>
              <w:szCs w:val="32"/>
            </w:rPr>
            <w:fldChar w:fldCharType="separate"/>
          </w:r>
          <w:r>
            <w:rPr>
              <w:rFonts w:hint="eastAsia" w:ascii="宋体" w:hAnsi="宋体" w:cs="宋体"/>
              <w:sz w:val="32"/>
              <w:szCs w:val="32"/>
            </w:rPr>
            <w:t>18</w:t>
          </w:r>
          <w:r>
            <w:rPr>
              <w:rFonts w:hint="eastAsia" w:ascii="宋体" w:hAnsi="宋体" w:cs="宋体"/>
              <w:sz w:val="32"/>
              <w:szCs w:val="32"/>
            </w:rPr>
            <w:fldChar w:fldCharType="end"/>
          </w:r>
          <w:r>
            <w:rPr>
              <w:rFonts w:hint="eastAsia" w:ascii="宋体" w:hAnsi="宋体" w:cs="宋体"/>
              <w:sz w:val="32"/>
              <w:szCs w:val="32"/>
            </w:rPr>
            <w:fldChar w:fldCharType="end"/>
          </w:r>
        </w:p>
        <w:p>
          <w:pPr>
            <w:jc w:val="left"/>
            <w:rPr>
              <w:rFonts w:asciiTheme="majorEastAsia" w:hAnsiTheme="majorEastAsia" w:eastAsiaTheme="majorEastAsia"/>
              <w:b/>
              <w:sz w:val="30"/>
              <w:szCs w:val="30"/>
            </w:rPr>
          </w:pPr>
          <w:r>
            <w:rPr>
              <w:rFonts w:hint="eastAsia" w:ascii="宋体" w:hAnsi="宋体" w:cs="宋体"/>
              <w:sz w:val="32"/>
              <w:szCs w:val="32"/>
            </w:rPr>
            <w:fldChar w:fldCharType="end"/>
          </w:r>
        </w:p>
      </w:sdtContent>
    </w:sdt>
    <w:p>
      <w:pPr>
        <w:pStyle w:val="3"/>
        <w:ind w:firstLine="2800" w:firstLineChars="700"/>
        <w:rPr>
          <w:b w:val="0"/>
          <w:bCs/>
          <w:sz w:val="40"/>
          <w:szCs w:val="22"/>
        </w:rPr>
      </w:pPr>
      <w:bookmarkStart w:id="1" w:name="_Toc4522"/>
      <w:r>
        <w:rPr>
          <w:rFonts w:hint="eastAsia"/>
          <w:b w:val="0"/>
          <w:bCs/>
          <w:sz w:val="40"/>
          <w:szCs w:val="22"/>
        </w:rPr>
        <w:br w:type="textWrapping"/>
      </w:r>
    </w:p>
    <w:p>
      <w:pPr>
        <w:jc w:val="center"/>
        <w:rPr>
          <w:bCs/>
          <w:sz w:val="40"/>
          <w:szCs w:val="22"/>
        </w:rPr>
      </w:pPr>
      <w:r>
        <w:rPr>
          <w:rFonts w:hint="eastAsia"/>
          <w:bCs/>
          <w:sz w:val="40"/>
          <w:szCs w:val="22"/>
        </w:rPr>
        <w:br w:type="page"/>
      </w:r>
    </w:p>
    <w:p>
      <w:pPr>
        <w:pStyle w:val="3"/>
        <w:ind w:firstLine="2800" w:firstLineChars="700"/>
        <w:jc w:val="left"/>
        <w:rPr>
          <w:b w:val="0"/>
          <w:bCs/>
          <w:sz w:val="40"/>
          <w:szCs w:val="22"/>
        </w:rPr>
      </w:pPr>
      <w:r>
        <w:rPr>
          <w:rFonts w:hint="eastAsia"/>
          <w:b w:val="0"/>
          <w:bCs/>
          <w:sz w:val="40"/>
          <w:szCs w:val="22"/>
        </w:rPr>
        <w:t>第一章 项目公告</w:t>
      </w:r>
      <w:bookmarkEnd w:id="1"/>
    </w:p>
    <w:p>
      <w:pPr>
        <w:jc w:val="center"/>
        <w:rPr>
          <w:rFonts w:asciiTheme="majorEastAsia" w:hAnsiTheme="majorEastAsia" w:eastAsiaTheme="majorEastAsia" w:cstheme="minorBidi"/>
          <w:b/>
          <w:sz w:val="36"/>
          <w:szCs w:val="36"/>
        </w:rPr>
      </w:pPr>
      <w:r>
        <w:rPr>
          <w:rFonts w:hint="eastAsia" w:asciiTheme="majorEastAsia" w:hAnsiTheme="majorEastAsia" w:eastAsiaTheme="majorEastAsia" w:cstheme="minorBidi"/>
          <w:b/>
          <w:sz w:val="36"/>
          <w:szCs w:val="36"/>
        </w:rPr>
        <w:t>广西工商职业技术学院鹏飞、中尧、武鸣校区学生公寓、公共区域化粪池进行定期集中清理服务采购公告</w:t>
      </w:r>
      <w:r>
        <w:rPr>
          <w:rFonts w:asciiTheme="majorEastAsia" w:hAnsiTheme="majorEastAsia" w:eastAsiaTheme="majorEastAsia" w:cstheme="minorBidi"/>
          <w:b/>
          <w:sz w:val="36"/>
          <w:szCs w:val="36"/>
        </w:rPr>
        <w:t xml:space="preserve">  </w:t>
      </w:r>
    </w:p>
    <w:p>
      <w:pPr>
        <w:spacing w:line="500" w:lineRule="exact"/>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一、采购项目</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广西工商职业技术学院鹏飞、中尧、武鸣校区学生公寓、公共区域化粪池进行定期集中清理服务采购项目。</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预算为￥98,000.00元（人民币玖万捌仟元整）。</w:t>
      </w:r>
    </w:p>
    <w:p>
      <w:pPr>
        <w:spacing w:line="360" w:lineRule="auto"/>
        <w:ind w:firstLine="562" w:firstLineChars="200"/>
        <w:rPr>
          <w:rFonts w:cs="Arial" w:asciiTheme="minorEastAsia" w:hAnsiTheme="minorEastAsia" w:eastAsiaTheme="minorEastAsia"/>
          <w:b/>
          <w:kern w:val="0"/>
          <w:sz w:val="28"/>
          <w:szCs w:val="28"/>
          <w:shd w:val="clear" w:color="auto" w:fill="FFFFFF"/>
        </w:rPr>
      </w:pPr>
      <w:r>
        <w:rPr>
          <w:rFonts w:hint="eastAsia" w:cs="Arial" w:asciiTheme="minorEastAsia" w:hAnsiTheme="minorEastAsia" w:eastAsiaTheme="minorEastAsia"/>
          <w:b/>
          <w:kern w:val="0"/>
          <w:sz w:val="28"/>
          <w:szCs w:val="28"/>
          <w:shd w:val="clear" w:color="auto" w:fill="FFFFFF"/>
        </w:rPr>
        <w:t>二、采购办法</w:t>
      </w:r>
    </w:p>
    <w:p>
      <w:pPr>
        <w:spacing w:line="360" w:lineRule="auto"/>
        <w:ind w:firstLine="560" w:firstLineChars="200"/>
        <w:rPr>
          <w:rFonts w:cs="Arial" w:asciiTheme="minorEastAsia" w:hAnsiTheme="minorEastAsia" w:eastAsiaTheme="minorEastAsia"/>
          <w:kern w:val="0"/>
          <w:sz w:val="28"/>
          <w:szCs w:val="28"/>
          <w:shd w:val="clear" w:color="auto" w:fill="FFFFFF"/>
        </w:rPr>
      </w:pPr>
      <w:r>
        <w:rPr>
          <w:rFonts w:hint="eastAsia" w:cs="Arial" w:asciiTheme="minorEastAsia" w:hAnsiTheme="minorEastAsia" w:eastAsiaTheme="minorEastAsia"/>
          <w:kern w:val="0"/>
          <w:sz w:val="28"/>
          <w:szCs w:val="28"/>
          <w:shd w:val="clear" w:color="auto" w:fill="FFFFFF"/>
        </w:rPr>
        <w:t>询价采购（满足采购需求条件下最低价成交）。</w:t>
      </w:r>
    </w:p>
    <w:p>
      <w:pPr>
        <w:spacing w:line="360" w:lineRule="auto"/>
        <w:ind w:firstLine="562" w:firstLineChars="200"/>
        <w:rPr>
          <w:rFonts w:cs="Arial" w:asciiTheme="minorEastAsia" w:hAnsiTheme="minorEastAsia" w:eastAsiaTheme="minorEastAsia"/>
          <w:b/>
          <w:kern w:val="0"/>
          <w:sz w:val="28"/>
          <w:szCs w:val="28"/>
          <w:shd w:val="clear" w:color="auto" w:fill="FFFFFF"/>
        </w:rPr>
      </w:pPr>
      <w:r>
        <w:rPr>
          <w:rFonts w:hint="eastAsia" w:cs="Arial" w:asciiTheme="minorEastAsia" w:hAnsiTheme="minorEastAsia" w:eastAsiaTheme="minorEastAsia"/>
          <w:b/>
          <w:kern w:val="0"/>
          <w:sz w:val="28"/>
          <w:szCs w:val="28"/>
          <w:shd w:val="clear" w:color="auto" w:fill="FFFFFF"/>
        </w:rPr>
        <w:t>三、采购内容</w:t>
      </w:r>
    </w:p>
    <w:p>
      <w:pPr>
        <w:spacing w:line="360" w:lineRule="auto"/>
        <w:ind w:firstLine="560" w:firstLineChars="200"/>
        <w:rPr>
          <w:rFonts w:cs="Arial" w:asciiTheme="minorEastAsia" w:hAnsiTheme="minorEastAsia" w:eastAsiaTheme="minorEastAsia"/>
          <w:kern w:val="0"/>
          <w:sz w:val="28"/>
          <w:szCs w:val="28"/>
          <w:shd w:val="clear" w:color="auto" w:fill="FFFFFF"/>
        </w:rPr>
      </w:pPr>
      <w:r>
        <w:rPr>
          <w:rFonts w:hint="eastAsia" w:asciiTheme="minorEastAsia" w:hAnsiTheme="minorEastAsia" w:eastAsiaTheme="minorEastAsia" w:cstheme="minorBidi"/>
          <w:sz w:val="28"/>
          <w:szCs w:val="28"/>
        </w:rPr>
        <w:t>广西工商职业技术学院鹏飞、中尧、武鸣校区学生公寓、公共区域化粪池进行定期集中清理服务采购项目</w:t>
      </w:r>
      <w:r>
        <w:rPr>
          <w:rFonts w:hint="eastAsia" w:cs="Arial" w:asciiTheme="minorEastAsia" w:hAnsiTheme="minorEastAsia" w:eastAsiaTheme="minorEastAsia"/>
          <w:kern w:val="0"/>
          <w:sz w:val="28"/>
          <w:szCs w:val="28"/>
          <w:shd w:val="clear" w:color="auto" w:fill="FFFFFF"/>
        </w:rPr>
        <w:t>，具体参数详见附件。</w:t>
      </w:r>
    </w:p>
    <w:p>
      <w:pPr>
        <w:spacing w:line="360" w:lineRule="auto"/>
        <w:ind w:firstLine="562" w:firstLineChars="200"/>
        <w:rPr>
          <w:rFonts w:cs="Arial" w:asciiTheme="minorEastAsia" w:hAnsiTheme="minorEastAsia" w:eastAsiaTheme="minorEastAsia"/>
          <w:b/>
          <w:kern w:val="0"/>
          <w:sz w:val="28"/>
          <w:szCs w:val="28"/>
          <w:shd w:val="clear" w:color="auto" w:fill="FFFFFF"/>
        </w:rPr>
      </w:pPr>
      <w:r>
        <w:rPr>
          <w:rFonts w:hint="eastAsia" w:cs="Arial" w:asciiTheme="minorEastAsia" w:hAnsiTheme="minorEastAsia" w:eastAsiaTheme="minorEastAsia"/>
          <w:b/>
          <w:kern w:val="0"/>
          <w:sz w:val="28"/>
          <w:szCs w:val="28"/>
          <w:shd w:val="clear" w:color="auto" w:fill="FFFFFF"/>
        </w:rPr>
        <w:t>四、资质要求</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1、具备《中华人民共和国政府采购法》第二十二条规定的条件。</w:t>
      </w:r>
    </w:p>
    <w:p>
      <w:pPr>
        <w:spacing w:line="500" w:lineRule="exact"/>
        <w:ind w:firstLine="560" w:firstLineChars="200"/>
        <w:rPr>
          <w:rFonts w:asciiTheme="minorEastAsia" w:hAnsiTheme="minorEastAsia"/>
          <w:sz w:val="28"/>
          <w:szCs w:val="28"/>
        </w:rPr>
      </w:pPr>
      <w:r>
        <w:rPr>
          <w:rFonts w:hint="eastAsia" w:asciiTheme="minorEastAsia" w:hAnsiTheme="minorEastAsia" w:eastAsiaTheme="minorEastAsia" w:cstheme="minorBidi"/>
          <w:sz w:val="28"/>
          <w:szCs w:val="28"/>
        </w:rPr>
        <w:t>2、</w:t>
      </w:r>
      <w:r>
        <w:rPr>
          <w:rFonts w:hint="eastAsia" w:asciiTheme="minorEastAsia" w:hAnsiTheme="minorEastAsia"/>
          <w:sz w:val="28"/>
          <w:szCs w:val="28"/>
        </w:rPr>
        <w:t>要求具</w:t>
      </w:r>
      <w:r>
        <w:rPr>
          <w:rFonts w:asciiTheme="minorEastAsia" w:hAnsiTheme="minorEastAsia"/>
          <w:sz w:val="28"/>
          <w:szCs w:val="28"/>
        </w:rPr>
        <w:t>有国内注册（指按国家有关规定要求注册的）</w:t>
      </w:r>
      <w:r>
        <w:rPr>
          <w:rFonts w:hint="eastAsia" w:asciiTheme="minorEastAsia" w:hAnsiTheme="minorEastAsia"/>
          <w:sz w:val="28"/>
          <w:szCs w:val="28"/>
        </w:rPr>
        <w:t>，</w:t>
      </w:r>
      <w:r>
        <w:rPr>
          <w:rFonts w:hint="eastAsia" w:asciiTheme="minorEastAsia" w:hAnsiTheme="minorEastAsia"/>
          <w:sz w:val="28"/>
          <w:szCs w:val="28"/>
          <w:highlight w:val="yellow"/>
        </w:rPr>
        <w:t>具备独立法人资格，有能力承接本项目内容并经工商行政部门登记年审合格的企业。具有有效的广西南宁市注册的抽污服务营业执照</w:t>
      </w:r>
      <w:r>
        <w:rPr>
          <w:rFonts w:hint="eastAsia" w:asciiTheme="minorEastAsia" w:hAnsiTheme="minorEastAsia"/>
          <w:sz w:val="28"/>
          <w:szCs w:val="28"/>
        </w:rPr>
        <w:t>。</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3</w:t>
      </w:r>
      <w:r>
        <w:rPr>
          <w:rFonts w:asciiTheme="minorEastAsia" w:hAnsiTheme="minorEastAsia" w:eastAsiaTheme="minorEastAsia" w:cstheme="minorBidi"/>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4、本项目不接受联合体投标。</w:t>
      </w:r>
    </w:p>
    <w:p>
      <w:pPr>
        <w:spacing w:line="360" w:lineRule="auto"/>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五、报名材料</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一）现场报名核验资料（无需密封）：营业执照（复印件盖公章），资质证书（复印件盖公章）、法人授权委托书、委托代理人身份证（复印件盖公章）。以上所有材料均需加盖公章，否则视为资料不齐，报名无效。同时备注好项目联系人及联系方式。</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二）密封盖公章的响应文件：响应文件格式详见附件《广西工商职业技术学院鹏飞、中尧、武鸣校区学生公寓、公共区域化粪池进行定期集中清理服务采购项目询价通知书》，请按照采购文件相关内容制作响应文件（一式一份），并密封盖公章，报名时一并提交。</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以上资料均须加盖公章，否则视为资料不齐，报名无效。</w:t>
      </w:r>
    </w:p>
    <w:p>
      <w:pPr>
        <w:spacing w:line="360" w:lineRule="auto"/>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六、报名时间地点</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（一）公告时间：20</w:t>
      </w:r>
      <w:r>
        <w:rPr>
          <w:rFonts w:asciiTheme="minorEastAsia" w:hAnsiTheme="minorEastAsia" w:eastAsiaTheme="minorEastAsia" w:cstheme="minorBidi"/>
          <w:sz w:val="28"/>
          <w:szCs w:val="28"/>
        </w:rPr>
        <w:t>2</w:t>
      </w:r>
      <w:r>
        <w:rPr>
          <w:rFonts w:hint="eastAsia" w:asciiTheme="minorEastAsia" w:hAnsiTheme="minorEastAsia" w:eastAsiaTheme="minorEastAsia" w:cstheme="minorBidi"/>
          <w:sz w:val="28"/>
          <w:szCs w:val="28"/>
        </w:rPr>
        <w:t>3年</w:t>
      </w:r>
      <w:r>
        <w:rPr>
          <w:rFonts w:hint="eastAsia" w:asciiTheme="minorEastAsia" w:hAnsiTheme="minorEastAsia" w:eastAsiaTheme="minorEastAsia" w:cstheme="minorBidi"/>
          <w:sz w:val="28"/>
          <w:szCs w:val="28"/>
          <w:lang w:val="en-US" w:eastAsia="zh-CN"/>
        </w:rPr>
        <w:t>8</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1</w:t>
      </w:r>
      <w:r>
        <w:rPr>
          <w:rFonts w:hint="eastAsia" w:asciiTheme="minorEastAsia" w:hAnsiTheme="minorEastAsia" w:eastAsiaTheme="minorEastAsia" w:cstheme="minorBidi"/>
          <w:sz w:val="28"/>
          <w:szCs w:val="28"/>
        </w:rPr>
        <w:t>日至2023年</w:t>
      </w:r>
      <w:r>
        <w:rPr>
          <w:rFonts w:hint="eastAsia" w:asciiTheme="minorEastAsia" w:hAnsiTheme="minorEastAsia" w:eastAsiaTheme="minorEastAsia" w:cstheme="minorBidi"/>
          <w:sz w:val="28"/>
          <w:szCs w:val="28"/>
          <w:lang w:val="en-US" w:eastAsia="zh-CN"/>
        </w:rPr>
        <w:t>8</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3</w:t>
      </w:r>
      <w:r>
        <w:rPr>
          <w:rFonts w:hint="eastAsia" w:asciiTheme="minorEastAsia" w:hAnsiTheme="minorEastAsia" w:eastAsiaTheme="minorEastAsia" w:cstheme="minorBidi"/>
          <w:sz w:val="28"/>
          <w:szCs w:val="28"/>
        </w:rPr>
        <w:t>日。</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（二）</w:t>
      </w:r>
      <w:r>
        <w:rPr>
          <w:rFonts w:hint="eastAsia" w:asciiTheme="minorEastAsia" w:hAnsiTheme="minorEastAsia" w:eastAsiaTheme="minorEastAsia" w:cstheme="minorBidi"/>
          <w:sz w:val="28"/>
          <w:szCs w:val="28"/>
          <w:highlight w:val="yellow"/>
          <w:lang w:eastAsia="zh-CN"/>
        </w:rPr>
        <w:t>统一</w:t>
      </w:r>
      <w:r>
        <w:rPr>
          <w:rFonts w:hint="eastAsia" w:asciiTheme="minorEastAsia" w:hAnsiTheme="minorEastAsia" w:eastAsiaTheme="minorEastAsia" w:cstheme="minorBidi"/>
          <w:sz w:val="28"/>
          <w:szCs w:val="28"/>
        </w:rPr>
        <w:t>现场报名及递交材料时间：2</w:t>
      </w:r>
      <w:r>
        <w:rPr>
          <w:rFonts w:asciiTheme="minorEastAsia" w:hAnsiTheme="minorEastAsia" w:eastAsiaTheme="minorEastAsia" w:cstheme="minorBidi"/>
          <w:sz w:val="28"/>
          <w:szCs w:val="28"/>
        </w:rPr>
        <w:t>02</w:t>
      </w:r>
      <w:r>
        <w:rPr>
          <w:rFonts w:hint="eastAsia" w:asciiTheme="minorEastAsia" w:hAnsiTheme="minorEastAsia" w:eastAsiaTheme="minorEastAsia" w:cstheme="minorBidi"/>
          <w:sz w:val="28"/>
          <w:szCs w:val="28"/>
        </w:rPr>
        <w:t>3年</w:t>
      </w:r>
      <w:r>
        <w:rPr>
          <w:rFonts w:hint="eastAsia" w:asciiTheme="minorEastAsia" w:hAnsiTheme="minorEastAsia" w:eastAsiaTheme="minorEastAsia" w:cstheme="minorBidi"/>
          <w:sz w:val="28"/>
          <w:szCs w:val="28"/>
          <w:lang w:val="en-US" w:eastAsia="zh-CN"/>
        </w:rPr>
        <w:t>8</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3</w:t>
      </w:r>
      <w:r>
        <w:rPr>
          <w:rFonts w:hint="eastAsia" w:asciiTheme="minorEastAsia" w:hAnsiTheme="minorEastAsia" w:eastAsiaTheme="minorEastAsia" w:cstheme="minorBidi"/>
          <w:sz w:val="28"/>
          <w:szCs w:val="28"/>
        </w:rPr>
        <w:t>日下午</w:t>
      </w:r>
      <w:r>
        <w:rPr>
          <w:rFonts w:hint="eastAsia" w:asciiTheme="minorEastAsia" w:hAnsiTheme="minorEastAsia" w:eastAsiaTheme="minorEastAsia" w:cstheme="minorBidi"/>
          <w:sz w:val="28"/>
          <w:szCs w:val="28"/>
          <w:lang w:val="en-US" w:eastAsia="zh-CN"/>
        </w:rPr>
        <w:t>15</w:t>
      </w:r>
      <w:r>
        <w:rPr>
          <w:rFonts w:hint="eastAsia" w:asciiTheme="minorEastAsia" w:hAnsiTheme="minorEastAsia" w:eastAsiaTheme="minorEastAsia" w:cstheme="minorBidi"/>
          <w:sz w:val="28"/>
          <w:szCs w:val="28"/>
        </w:rPr>
        <w:t>：00—</w:t>
      </w:r>
      <w:r>
        <w:rPr>
          <w:rFonts w:hint="eastAsia" w:asciiTheme="minorEastAsia" w:hAnsiTheme="minorEastAsia" w:eastAsiaTheme="minorEastAsia" w:cstheme="minorBidi"/>
          <w:sz w:val="28"/>
          <w:szCs w:val="28"/>
          <w:lang w:val="en-US" w:eastAsia="zh-CN"/>
        </w:rPr>
        <w:t>17</w:t>
      </w:r>
      <w:r>
        <w:rPr>
          <w:rFonts w:hint="eastAsia" w:asciiTheme="minorEastAsia" w:hAnsiTheme="minorEastAsia" w:eastAsiaTheme="minorEastAsia" w:cstheme="minorBidi"/>
          <w:sz w:val="28"/>
          <w:szCs w:val="28"/>
        </w:rPr>
        <w:t>：00，逾期不再接收报名。</w:t>
      </w:r>
    </w:p>
    <w:p>
      <w:pPr>
        <w:spacing w:line="360" w:lineRule="auto"/>
        <w:ind w:firstLine="700" w:firstLineChars="25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地址：南宁市西乡塘区鹏飞路15号广西工商职业技术学院鹏飞校区教学楼6楼26</w:t>
      </w:r>
      <w:r>
        <w:rPr>
          <w:rFonts w:asciiTheme="minorEastAsia" w:hAnsiTheme="minorEastAsia" w:eastAsiaTheme="minorEastAsia" w:cstheme="minorBidi"/>
          <w:sz w:val="28"/>
          <w:szCs w:val="28"/>
        </w:rPr>
        <w:t>1</w:t>
      </w:r>
      <w:r>
        <w:rPr>
          <w:rFonts w:hint="eastAsia" w:asciiTheme="minorEastAsia" w:hAnsiTheme="minorEastAsia" w:eastAsiaTheme="minorEastAsia" w:cstheme="minorBidi"/>
          <w:sz w:val="28"/>
          <w:szCs w:val="28"/>
        </w:rPr>
        <w:t>7室。</w:t>
      </w:r>
    </w:p>
    <w:p>
      <w:pPr>
        <w:spacing w:line="360" w:lineRule="auto"/>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七、联系人及电话</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 xml:space="preserve">徐老师，0771-2394894 </w:t>
      </w:r>
    </w:p>
    <w:p>
      <w:pPr>
        <w:snapToGrid w:val="0"/>
        <w:spacing w:line="340" w:lineRule="atLeast"/>
        <w:ind w:firstLine="562" w:firstLineChars="200"/>
        <w:rPr>
          <w:rFonts w:ascii="宋体" w:hAnsi="宋体" w:cs="宋体"/>
          <w:sz w:val="28"/>
          <w:szCs w:val="28"/>
        </w:rPr>
      </w:pPr>
      <w:r>
        <w:rPr>
          <w:rFonts w:hint="eastAsia" w:ascii="宋体" w:hAnsi="宋体" w:cs="宋体"/>
          <w:b/>
          <w:sz w:val="28"/>
          <w:szCs w:val="28"/>
        </w:rPr>
        <w:t>八、网上公告媒体查询</w:t>
      </w:r>
      <w:r>
        <w:rPr>
          <w:rFonts w:hint="eastAsia" w:ascii="宋体" w:hAnsi="宋体" w:cs="宋体"/>
          <w:sz w:val="28"/>
          <w:szCs w:val="28"/>
        </w:rPr>
        <w:t>：广西工商职业技术学院（</w:t>
      </w:r>
      <w:r>
        <w:fldChar w:fldCharType="begin"/>
      </w:r>
      <w:r>
        <w:instrText xml:space="preserve"> HYPERLINK "http://www.gxgsxy.com/" </w:instrText>
      </w:r>
      <w:r>
        <w:fldChar w:fldCharType="separate"/>
      </w:r>
      <w:r>
        <w:rPr>
          <w:rFonts w:hint="eastAsia" w:ascii="宋体" w:hAnsi="宋体" w:cs="宋体"/>
          <w:sz w:val="28"/>
          <w:szCs w:val="28"/>
        </w:rPr>
        <w:t>http://www.gxgsxy.com/</w:t>
      </w:r>
      <w:r>
        <w:rPr>
          <w:rFonts w:hint="eastAsia" w:ascii="宋体" w:hAnsi="宋体" w:cs="宋体"/>
          <w:sz w:val="28"/>
          <w:szCs w:val="28"/>
        </w:rPr>
        <w:fldChar w:fldCharType="end"/>
      </w:r>
      <w:r>
        <w:rPr>
          <w:rFonts w:hint="eastAsia" w:ascii="宋体" w:hAnsi="宋体" w:cs="宋体"/>
          <w:sz w:val="28"/>
          <w:szCs w:val="28"/>
        </w:rPr>
        <w:t>）</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九、采购监督机构</w:t>
      </w:r>
    </w:p>
    <w:p>
      <w:pPr>
        <w:spacing w:line="360" w:lineRule="auto"/>
        <w:ind w:left="840" w:leftChars="200" w:hanging="420" w:hangingChars="150"/>
        <w:rPr>
          <w:rFonts w:asciiTheme="minorEastAsia" w:hAnsiTheme="minorEastAsia" w:eastAsiaTheme="minorEastAsia" w:cstheme="minorBidi"/>
          <w:sz w:val="28"/>
          <w:szCs w:val="28"/>
        </w:rPr>
      </w:pPr>
      <w:r>
        <w:rPr>
          <w:rFonts w:hint="eastAsia" w:ascii="宋体" w:hAnsi="宋体" w:cs="宋体"/>
          <w:sz w:val="28"/>
          <w:szCs w:val="28"/>
        </w:rPr>
        <w:t>广西工商职业技术学院纪委办公室、监察室，联系电话0771-2359467。</w:t>
      </w:r>
    </w:p>
    <w:p>
      <w:pPr>
        <w:spacing w:line="360" w:lineRule="auto"/>
        <w:ind w:left="840" w:leftChars="200" w:hanging="420" w:hangingChars="150"/>
        <w:rPr>
          <w:rFonts w:asciiTheme="minorEastAsia" w:hAnsiTheme="minorEastAsia" w:eastAsiaTheme="minorEastAsia" w:cstheme="minorBidi"/>
          <w:sz w:val="28"/>
          <w:szCs w:val="28"/>
        </w:rPr>
      </w:pPr>
    </w:p>
    <w:p>
      <w:pPr>
        <w:spacing w:line="360" w:lineRule="auto"/>
        <w:ind w:left="840" w:leftChars="200" w:hanging="420" w:hangingChars="15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附件:广西工商职业技术学院鹏飞、中尧、武鸣校区学生公寓、公共区域化粪池进行定期集中清理服务采购项目询价通知书</w:t>
      </w:r>
    </w:p>
    <w:p>
      <w:pPr>
        <w:spacing w:line="360" w:lineRule="auto"/>
        <w:ind w:firstLine="560" w:firstLineChars="200"/>
        <w:rPr>
          <w:rFonts w:asciiTheme="minorEastAsia" w:hAnsiTheme="minorEastAsia" w:eastAsiaTheme="minorEastAsia" w:cstheme="minorBidi"/>
          <w:sz w:val="28"/>
          <w:szCs w:val="28"/>
        </w:rPr>
      </w:pPr>
    </w:p>
    <w:p>
      <w:pPr>
        <w:spacing w:line="360" w:lineRule="auto"/>
        <w:ind w:firstLine="560" w:firstLineChars="200"/>
        <w:rPr>
          <w:rFonts w:asciiTheme="minorEastAsia" w:hAnsiTheme="minorEastAsia" w:eastAsiaTheme="minorEastAsia" w:cstheme="minorBidi"/>
          <w:sz w:val="28"/>
          <w:szCs w:val="28"/>
        </w:rPr>
      </w:pPr>
    </w:p>
    <w:p>
      <w:pPr>
        <w:spacing w:line="360" w:lineRule="auto"/>
        <w:ind w:firstLine="5460" w:firstLineChars="1950"/>
        <w:outlineLvl w:val="0"/>
        <w:rPr>
          <w:rFonts w:asciiTheme="minorEastAsia" w:hAnsiTheme="minorEastAsia" w:eastAsiaTheme="minorEastAsia" w:cstheme="minorBidi"/>
          <w:sz w:val="28"/>
          <w:szCs w:val="28"/>
        </w:rPr>
      </w:pPr>
      <w:bookmarkStart w:id="2" w:name="_Toc15229"/>
      <w:r>
        <w:rPr>
          <w:rFonts w:hint="eastAsia" w:asciiTheme="minorEastAsia" w:hAnsiTheme="minorEastAsia" w:eastAsiaTheme="minorEastAsia" w:cstheme="minorBidi"/>
          <w:sz w:val="28"/>
          <w:szCs w:val="28"/>
        </w:rPr>
        <w:t>广西工商职业技术学院</w:t>
      </w:r>
      <w:bookmarkEnd w:id="2"/>
    </w:p>
    <w:p>
      <w:pPr>
        <w:spacing w:line="360" w:lineRule="auto"/>
        <w:ind w:firstLine="5740" w:firstLineChars="2050"/>
        <w:rPr>
          <w:rFonts w:asciiTheme="minorEastAsia" w:hAnsiTheme="minorEastAsia"/>
          <w:sz w:val="28"/>
          <w:szCs w:val="28"/>
        </w:rPr>
        <w:sectPr>
          <w:footerReference r:id="rId3" w:type="default"/>
          <w:pgSz w:w="11906" w:h="16838"/>
          <w:pgMar w:top="1440" w:right="1080" w:bottom="1440" w:left="1080" w:header="851" w:footer="992" w:gutter="0"/>
          <w:pgNumType w:start="1"/>
          <w:cols w:space="425" w:num="1"/>
          <w:docGrid w:type="lines" w:linePitch="312" w:charSpace="0"/>
        </w:sectPr>
      </w:pPr>
      <w:r>
        <w:rPr>
          <w:rFonts w:hint="eastAsia" w:asciiTheme="minorEastAsia" w:hAnsiTheme="minorEastAsia" w:eastAsiaTheme="minorEastAsia" w:cstheme="minorBidi"/>
          <w:sz w:val="28"/>
          <w:szCs w:val="28"/>
        </w:rPr>
        <w:t>2023年</w:t>
      </w:r>
      <w:r>
        <w:rPr>
          <w:rFonts w:hint="eastAsia" w:asciiTheme="minorEastAsia" w:hAnsiTheme="minorEastAsia" w:eastAsiaTheme="minorEastAsia" w:cstheme="minorBidi"/>
          <w:sz w:val="28"/>
          <w:szCs w:val="28"/>
          <w:lang w:val="en-US" w:eastAsia="zh-CN"/>
        </w:rPr>
        <w:t>8</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1</w:t>
      </w:r>
      <w:r>
        <w:rPr>
          <w:rFonts w:hint="eastAsia" w:asciiTheme="minorEastAsia" w:hAnsiTheme="minorEastAsia" w:eastAsiaTheme="minorEastAsia" w:cstheme="minorBidi"/>
          <w:sz w:val="28"/>
          <w:szCs w:val="28"/>
        </w:rPr>
        <w:t>日</w:t>
      </w:r>
    </w:p>
    <w:p>
      <w:pPr>
        <w:pStyle w:val="3"/>
        <w:ind w:firstLine="3200" w:firstLineChars="800"/>
        <w:jc w:val="left"/>
        <w:rPr>
          <w:b w:val="0"/>
          <w:bCs/>
          <w:sz w:val="40"/>
          <w:szCs w:val="22"/>
        </w:rPr>
      </w:pPr>
      <w:bookmarkStart w:id="3" w:name="_Toc12753"/>
      <w:r>
        <w:rPr>
          <w:rFonts w:hint="eastAsia"/>
          <w:b w:val="0"/>
          <w:bCs/>
          <w:sz w:val="40"/>
          <w:szCs w:val="22"/>
        </w:rPr>
        <w:t>第二章 采购需求</w:t>
      </w:r>
      <w:bookmarkEnd w:id="3"/>
    </w:p>
    <w:p>
      <w:pPr>
        <w:jc w:val="left"/>
      </w:pPr>
      <w:r>
        <w:rPr>
          <w:rFonts w:hint="eastAsia"/>
        </w:rPr>
        <w:t>说明：</w:t>
      </w:r>
    </w:p>
    <w:p>
      <w:pPr>
        <w:jc w:val="left"/>
      </w:pPr>
      <w:r>
        <w:rPr>
          <w:rFonts w:hint="eastAsia"/>
        </w:rPr>
        <w:t>1.询价文件中标注“★”号的要求为实质性要求，必须满足或优于，否则报价无效。</w:t>
      </w:r>
    </w:p>
    <w:p>
      <w:pPr>
        <w:jc w:val="left"/>
      </w:pPr>
      <w:r>
        <w:rPr>
          <w:rFonts w:hint="eastAsia"/>
        </w:rPr>
        <w:t>2.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pPr>
        <w:jc w:val="left"/>
      </w:pPr>
      <w:r>
        <w:rPr>
          <w:rFonts w:hint="eastAsia"/>
        </w:rPr>
        <w:t>3.购需求中出现的品牌、型号或者生产供应商仅起参考作用，不属于指定品牌、型号或者生产供应商的情形。供应商可参照或者选用其他相当的品牌、型号或者生产供应商替代。</w:t>
      </w:r>
    </w:p>
    <w:p>
      <w:pPr>
        <w:jc w:val="left"/>
      </w:pPr>
      <w:r>
        <w:rPr>
          <w:rFonts w:hint="eastAsia"/>
        </w:rPr>
        <w:t>4.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tbl>
      <w:tblPr>
        <w:tblStyle w:val="17"/>
        <w:tblpPr w:leftFromText="180" w:rightFromText="180" w:vertAnchor="text" w:horzAnchor="page" w:tblpXSpec="center" w:tblpY="563"/>
        <w:tblOverlap w:val="never"/>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
        <w:gridCol w:w="1488"/>
        <w:gridCol w:w="1633"/>
        <w:gridCol w:w="1470"/>
        <w:gridCol w:w="1750"/>
        <w:gridCol w:w="1613"/>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731" w:type="dxa"/>
            <w:gridSpan w:val="7"/>
            <w:tcBorders>
              <w:tl2br w:val="nil"/>
              <w:tr2bl w:val="nil"/>
            </w:tcBorders>
            <w:shd w:val="clear" w:color="auto" w:fill="auto"/>
            <w:noWrap/>
            <w:vAlign w:val="center"/>
          </w:tcPr>
          <w:p>
            <w:pPr>
              <w:widowControl/>
              <w:spacing w:line="400" w:lineRule="exact"/>
              <w:jc w:val="left"/>
              <w:rPr>
                <w:rFonts w:ascii="仿宋" w:hAnsi="仿宋" w:eastAsia="仿宋"/>
                <w:b/>
                <w:bCs/>
                <w:sz w:val="32"/>
                <w:szCs w:val="32"/>
              </w:rPr>
            </w:pPr>
            <w:r>
              <w:rPr>
                <w:rFonts w:hint="eastAsia" w:ascii="宋体" w:hAnsi="宋体" w:cs="宋体"/>
                <w:b/>
                <w:sz w:val="28"/>
                <w:szCs w:val="28"/>
              </w:rPr>
              <w:t>★一、采购需求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651" w:hRule="atLeast"/>
          <w:jc w:val="center"/>
        </w:trPr>
        <w:tc>
          <w:tcPr>
            <w:tcW w:w="1488" w:type="dxa"/>
            <w:tcBorders>
              <w:tl2br w:val="nil"/>
              <w:tr2bl w:val="nil"/>
            </w:tcBorders>
            <w:shd w:val="clear" w:color="auto" w:fill="auto"/>
            <w:noWrap/>
            <w:vAlign w:val="center"/>
          </w:tcPr>
          <w:p>
            <w:pPr>
              <w:widowControl/>
              <w:spacing w:line="400" w:lineRule="exact"/>
              <w:jc w:val="center"/>
              <w:rPr>
                <w:rFonts w:ascii="仿宋" w:hAnsi="仿宋" w:eastAsia="仿宋"/>
                <w:b/>
                <w:bCs/>
                <w:sz w:val="32"/>
                <w:szCs w:val="32"/>
              </w:rPr>
            </w:pPr>
            <w:r>
              <w:rPr>
                <w:rFonts w:hint="eastAsia" w:ascii="仿宋" w:hAnsi="仿宋" w:eastAsia="仿宋"/>
                <w:b/>
                <w:bCs/>
                <w:sz w:val="32"/>
                <w:szCs w:val="32"/>
              </w:rPr>
              <w:t>地点</w:t>
            </w:r>
          </w:p>
        </w:tc>
        <w:tc>
          <w:tcPr>
            <w:tcW w:w="1633" w:type="dxa"/>
            <w:tcBorders>
              <w:tl2br w:val="nil"/>
              <w:tr2bl w:val="nil"/>
            </w:tcBorders>
            <w:shd w:val="clear" w:color="auto" w:fill="auto"/>
            <w:noWrap/>
            <w:vAlign w:val="center"/>
          </w:tcPr>
          <w:p>
            <w:pPr>
              <w:widowControl/>
              <w:spacing w:line="400" w:lineRule="exact"/>
              <w:jc w:val="center"/>
              <w:rPr>
                <w:rFonts w:ascii="仿宋" w:hAnsi="仿宋" w:eastAsia="仿宋"/>
                <w:b/>
                <w:bCs/>
                <w:sz w:val="32"/>
                <w:szCs w:val="32"/>
              </w:rPr>
            </w:pPr>
            <w:r>
              <w:rPr>
                <w:rFonts w:hint="eastAsia" w:ascii="仿宋" w:hAnsi="仿宋" w:eastAsia="仿宋"/>
                <w:b/>
                <w:bCs/>
                <w:sz w:val="32"/>
                <w:szCs w:val="32"/>
              </w:rPr>
              <w:t>清理频率</w:t>
            </w:r>
          </w:p>
        </w:tc>
        <w:tc>
          <w:tcPr>
            <w:tcW w:w="1470" w:type="dxa"/>
            <w:tcBorders>
              <w:tl2br w:val="nil"/>
              <w:tr2bl w:val="nil"/>
            </w:tcBorders>
            <w:shd w:val="clear" w:color="auto" w:fill="auto"/>
            <w:noWrap/>
            <w:vAlign w:val="center"/>
          </w:tcPr>
          <w:p>
            <w:pPr>
              <w:widowControl/>
              <w:spacing w:line="400" w:lineRule="exact"/>
              <w:jc w:val="center"/>
              <w:rPr>
                <w:rFonts w:ascii="仿宋" w:hAnsi="仿宋" w:eastAsia="仿宋"/>
                <w:b/>
                <w:bCs/>
                <w:sz w:val="32"/>
                <w:szCs w:val="32"/>
                <w:highlight w:val="yellow"/>
              </w:rPr>
            </w:pPr>
            <w:r>
              <w:rPr>
                <w:rFonts w:hint="eastAsia" w:ascii="仿宋" w:hAnsi="仿宋" w:eastAsia="仿宋"/>
                <w:b/>
                <w:bCs/>
                <w:sz w:val="32"/>
                <w:szCs w:val="32"/>
              </w:rPr>
              <w:t>容量</w:t>
            </w:r>
          </w:p>
        </w:tc>
        <w:tc>
          <w:tcPr>
            <w:tcW w:w="1750" w:type="dxa"/>
            <w:tcBorders>
              <w:tl2br w:val="nil"/>
              <w:tr2bl w:val="nil"/>
            </w:tcBorders>
            <w:shd w:val="clear" w:color="auto" w:fill="auto"/>
            <w:noWrap/>
            <w:vAlign w:val="center"/>
          </w:tcPr>
          <w:p>
            <w:pPr>
              <w:widowControl/>
              <w:spacing w:line="400" w:lineRule="exact"/>
              <w:jc w:val="center"/>
              <w:rPr>
                <w:rFonts w:ascii="仿宋" w:hAnsi="仿宋" w:eastAsia="仿宋"/>
                <w:b/>
                <w:bCs/>
                <w:sz w:val="32"/>
                <w:szCs w:val="32"/>
              </w:rPr>
            </w:pPr>
            <w:r>
              <w:rPr>
                <w:rFonts w:hint="eastAsia" w:ascii="仿宋" w:hAnsi="仿宋" w:eastAsia="仿宋"/>
                <w:b/>
                <w:bCs/>
                <w:sz w:val="32"/>
                <w:szCs w:val="32"/>
              </w:rPr>
              <w:t>化粪池数</w:t>
            </w:r>
          </w:p>
        </w:tc>
        <w:tc>
          <w:tcPr>
            <w:tcW w:w="1613" w:type="dxa"/>
            <w:tcBorders>
              <w:tl2br w:val="nil"/>
              <w:tr2bl w:val="nil"/>
            </w:tcBorders>
            <w:shd w:val="clear" w:color="auto" w:fill="auto"/>
            <w:vAlign w:val="center"/>
          </w:tcPr>
          <w:p>
            <w:pPr>
              <w:widowControl/>
              <w:spacing w:line="400" w:lineRule="exact"/>
              <w:jc w:val="center"/>
              <w:rPr>
                <w:rFonts w:ascii="仿宋" w:hAnsi="仿宋" w:eastAsia="仿宋"/>
                <w:b/>
                <w:bCs/>
                <w:sz w:val="32"/>
                <w:szCs w:val="32"/>
              </w:rPr>
            </w:pPr>
            <w:r>
              <w:rPr>
                <w:rFonts w:hint="eastAsia" w:ascii="仿宋" w:hAnsi="仿宋" w:eastAsia="仿宋"/>
                <w:b/>
                <w:bCs/>
                <w:sz w:val="32"/>
                <w:szCs w:val="32"/>
              </w:rPr>
              <w:t>清理次数</w:t>
            </w:r>
          </w:p>
        </w:tc>
        <w:tc>
          <w:tcPr>
            <w:tcW w:w="1767" w:type="dxa"/>
            <w:tcBorders>
              <w:tl2br w:val="nil"/>
              <w:tr2bl w:val="nil"/>
            </w:tcBorders>
            <w:shd w:val="clear" w:color="auto" w:fill="auto"/>
            <w:vAlign w:val="center"/>
          </w:tcPr>
          <w:p>
            <w:pPr>
              <w:widowControl/>
              <w:spacing w:line="400" w:lineRule="exact"/>
              <w:jc w:val="center"/>
              <w:rPr>
                <w:rFonts w:ascii="仿宋" w:hAnsi="仿宋" w:eastAsia="仿宋"/>
                <w:b/>
                <w:bCs/>
                <w:sz w:val="32"/>
                <w:szCs w:val="32"/>
              </w:rPr>
            </w:pPr>
            <w:r>
              <w:rPr>
                <w:rFonts w:hint="eastAsia" w:ascii="仿宋" w:hAnsi="仿宋" w:eastAsia="仿宋"/>
                <w:b/>
                <w:bCs/>
                <w:sz w:val="32"/>
                <w:szCs w:val="3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920" w:hRule="atLeast"/>
          <w:jc w:val="center"/>
        </w:trPr>
        <w:tc>
          <w:tcPr>
            <w:tcW w:w="1488" w:type="dxa"/>
            <w:tcBorders>
              <w:tl2br w:val="nil"/>
              <w:tr2bl w:val="nil"/>
            </w:tcBorders>
            <w:shd w:val="clear" w:color="auto" w:fill="auto"/>
            <w:noWrap/>
            <w:vAlign w:val="center"/>
          </w:tcPr>
          <w:p>
            <w:pPr>
              <w:widowControl/>
              <w:spacing w:line="360" w:lineRule="exact"/>
              <w:jc w:val="center"/>
              <w:rPr>
                <w:rFonts w:ascii="仿宋" w:hAnsi="仿宋" w:eastAsia="仿宋"/>
                <w:sz w:val="28"/>
                <w:szCs w:val="28"/>
              </w:rPr>
            </w:pPr>
            <w:r>
              <w:rPr>
                <w:rFonts w:hint="eastAsia" w:ascii="仿宋" w:hAnsi="仿宋" w:eastAsia="仿宋"/>
                <w:sz w:val="28"/>
                <w:szCs w:val="28"/>
              </w:rPr>
              <w:t>中尧校区</w:t>
            </w:r>
          </w:p>
          <w:p>
            <w:pPr>
              <w:widowControl/>
              <w:spacing w:line="280" w:lineRule="exact"/>
              <w:jc w:val="center"/>
              <w:rPr>
                <w:rFonts w:ascii="仿宋" w:hAnsi="仿宋" w:eastAsia="仿宋"/>
                <w:sz w:val="28"/>
                <w:szCs w:val="28"/>
              </w:rPr>
            </w:pPr>
            <w:r>
              <w:rPr>
                <w:rFonts w:hint="eastAsia" w:ascii="仿宋" w:hAnsi="仿宋" w:eastAsia="仿宋"/>
                <w:szCs w:val="21"/>
              </w:rPr>
              <w:t>地址：南宁市西乡塘区中尧路</w:t>
            </w:r>
            <w:r>
              <w:rPr>
                <w:rFonts w:ascii="仿宋" w:hAnsi="仿宋" w:eastAsia="仿宋"/>
                <w:szCs w:val="21"/>
              </w:rPr>
              <w:t>15号</w:t>
            </w:r>
          </w:p>
        </w:tc>
        <w:tc>
          <w:tcPr>
            <w:tcW w:w="1633" w:type="dxa"/>
            <w:tcBorders>
              <w:tl2br w:val="nil"/>
              <w:tr2bl w:val="nil"/>
            </w:tcBorders>
            <w:shd w:val="clear" w:color="auto" w:fill="auto"/>
            <w:noWrap/>
            <w:vAlign w:val="center"/>
          </w:tcPr>
          <w:p>
            <w:pPr>
              <w:widowControl/>
              <w:spacing w:line="360" w:lineRule="exact"/>
              <w:jc w:val="center"/>
              <w:rPr>
                <w:rFonts w:ascii="仿宋" w:hAnsi="仿宋" w:eastAsia="仿宋"/>
                <w:sz w:val="28"/>
                <w:szCs w:val="28"/>
              </w:rPr>
            </w:pPr>
            <w:r>
              <w:rPr>
                <w:rFonts w:hint="eastAsia" w:ascii="仿宋" w:hAnsi="仿宋" w:eastAsia="仿宋"/>
                <w:sz w:val="28"/>
                <w:szCs w:val="28"/>
              </w:rPr>
              <w:t>每两月1次</w:t>
            </w:r>
          </w:p>
        </w:tc>
        <w:tc>
          <w:tcPr>
            <w:tcW w:w="1470" w:type="dxa"/>
            <w:tcBorders>
              <w:tl2br w:val="nil"/>
              <w:tr2bl w:val="nil"/>
            </w:tcBorders>
            <w:shd w:val="clear" w:color="auto" w:fill="auto"/>
            <w:noWrap/>
            <w:vAlign w:val="center"/>
          </w:tcPr>
          <w:p>
            <w:pPr>
              <w:widowControl/>
              <w:spacing w:line="360" w:lineRule="exact"/>
              <w:jc w:val="center"/>
              <w:rPr>
                <w:rFonts w:ascii="仿宋" w:hAnsi="仿宋" w:eastAsia="仿宋"/>
                <w:sz w:val="28"/>
                <w:szCs w:val="28"/>
              </w:rPr>
            </w:pPr>
            <w:r>
              <w:rPr>
                <w:rFonts w:hint="eastAsia" w:ascii="仿宋" w:hAnsi="仿宋" w:eastAsia="仿宋"/>
                <w:sz w:val="28"/>
                <w:szCs w:val="28"/>
              </w:rPr>
              <w:t>约30</w:t>
            </w:r>
            <w:r>
              <w:rPr>
                <w:rFonts w:ascii="Segoe UI Symbol" w:hAnsi="Segoe UI Symbol" w:eastAsia="微软雅黑" w:cs="Segoe UI Symbol"/>
                <w:sz w:val="28"/>
                <w:szCs w:val="28"/>
              </w:rPr>
              <w:t>㎥</w:t>
            </w:r>
          </w:p>
          <w:p>
            <w:pPr>
              <w:widowControl/>
              <w:spacing w:line="360" w:lineRule="exact"/>
              <w:jc w:val="center"/>
              <w:rPr>
                <w:rFonts w:ascii="仿宋" w:hAnsi="仿宋" w:eastAsia="仿宋"/>
                <w:sz w:val="28"/>
                <w:szCs w:val="28"/>
                <w:highlight w:val="yellow"/>
              </w:rPr>
            </w:pPr>
            <w:r>
              <w:rPr>
                <w:rFonts w:hint="eastAsia" w:ascii="仿宋" w:hAnsi="仿宋" w:eastAsia="仿宋"/>
                <w:sz w:val="28"/>
                <w:szCs w:val="28"/>
              </w:rPr>
              <w:t>/个</w:t>
            </w:r>
          </w:p>
        </w:tc>
        <w:tc>
          <w:tcPr>
            <w:tcW w:w="1750" w:type="dxa"/>
            <w:tcBorders>
              <w:tl2br w:val="nil"/>
              <w:tr2bl w:val="nil"/>
            </w:tcBorders>
            <w:shd w:val="clear" w:color="auto" w:fill="auto"/>
            <w:noWrap/>
            <w:vAlign w:val="center"/>
          </w:tcPr>
          <w:p>
            <w:pPr>
              <w:widowControl/>
              <w:spacing w:line="360" w:lineRule="exact"/>
              <w:jc w:val="center"/>
              <w:rPr>
                <w:rFonts w:ascii="仿宋" w:hAnsi="仿宋" w:eastAsia="仿宋"/>
                <w:sz w:val="28"/>
                <w:szCs w:val="28"/>
              </w:rPr>
            </w:pPr>
            <w:r>
              <w:rPr>
                <w:rFonts w:hint="eastAsia" w:ascii="仿宋" w:hAnsi="仿宋" w:eastAsia="仿宋"/>
                <w:sz w:val="28"/>
                <w:szCs w:val="28"/>
              </w:rPr>
              <w:t>22</w:t>
            </w:r>
          </w:p>
        </w:tc>
        <w:tc>
          <w:tcPr>
            <w:tcW w:w="1613" w:type="dxa"/>
            <w:tcBorders>
              <w:tl2br w:val="nil"/>
              <w:tr2bl w:val="nil"/>
            </w:tcBorders>
            <w:shd w:val="clear" w:color="auto" w:fill="auto"/>
            <w:noWrap/>
            <w:vAlign w:val="center"/>
          </w:tcPr>
          <w:p>
            <w:pPr>
              <w:widowControl/>
              <w:spacing w:line="360" w:lineRule="exact"/>
              <w:jc w:val="center"/>
              <w:rPr>
                <w:rFonts w:ascii="仿宋" w:hAnsi="仿宋" w:eastAsia="仿宋"/>
                <w:sz w:val="28"/>
                <w:szCs w:val="28"/>
              </w:rPr>
            </w:pPr>
            <w:r>
              <w:rPr>
                <w:rFonts w:hint="eastAsia" w:ascii="仿宋" w:hAnsi="仿宋" w:eastAsia="仿宋"/>
                <w:sz w:val="28"/>
                <w:szCs w:val="28"/>
              </w:rPr>
              <w:t>6</w:t>
            </w:r>
          </w:p>
        </w:tc>
        <w:tc>
          <w:tcPr>
            <w:tcW w:w="1767" w:type="dxa"/>
            <w:vMerge w:val="restart"/>
            <w:tcBorders>
              <w:tl2br w:val="nil"/>
              <w:tr2bl w:val="nil"/>
            </w:tcBorders>
            <w:shd w:val="clear" w:color="auto" w:fill="auto"/>
            <w:noWrap/>
            <w:vAlign w:val="center"/>
          </w:tcPr>
          <w:p>
            <w:pPr>
              <w:widowControl/>
              <w:spacing w:line="400" w:lineRule="exact"/>
              <w:jc w:val="left"/>
              <w:rPr>
                <w:rFonts w:ascii="仿宋" w:hAnsi="仿宋" w:eastAsia="仿宋"/>
                <w:sz w:val="28"/>
                <w:szCs w:val="28"/>
              </w:rPr>
            </w:pPr>
            <w:r>
              <w:rPr>
                <w:rFonts w:hint="eastAsia" w:ascii="仿宋" w:hAnsi="仿宋" w:eastAsia="仿宋"/>
                <w:sz w:val="28"/>
                <w:szCs w:val="28"/>
              </w:rPr>
              <w:t>化粪池1级2级3级的粪便以及杂物全部清理干净，并运到合法的污水处理厂倾倒。</w:t>
            </w:r>
            <w:r>
              <w:rPr>
                <w:rFonts w:hint="eastAsia" w:ascii="仿宋" w:hAnsi="仿宋" w:eastAsia="仿宋"/>
                <w:sz w:val="28"/>
                <w:szCs w:val="28"/>
                <w:highlight w:val="yellow"/>
              </w:rPr>
              <w:t>严禁</w:t>
            </w:r>
            <w:r>
              <w:rPr>
                <w:rFonts w:hint="eastAsia" w:ascii="仿宋" w:hAnsi="仿宋" w:eastAsia="仿宋"/>
                <w:sz w:val="28"/>
                <w:szCs w:val="28"/>
              </w:rPr>
              <w:t>在校内就近倾倒。（</w:t>
            </w:r>
            <w:r>
              <w:rPr>
                <w:rFonts w:hint="eastAsia" w:ascii="仿宋" w:hAnsi="仿宋" w:eastAsia="仿宋"/>
                <w:sz w:val="28"/>
                <w:szCs w:val="28"/>
                <w:highlight w:val="yellow"/>
              </w:rPr>
              <w:t>共计58个化粪池</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894" w:hRule="atLeast"/>
          <w:jc w:val="center"/>
        </w:trPr>
        <w:tc>
          <w:tcPr>
            <w:tcW w:w="1488" w:type="dxa"/>
            <w:tcBorders>
              <w:tl2br w:val="nil"/>
              <w:tr2bl w:val="nil"/>
            </w:tcBorders>
            <w:shd w:val="clear" w:color="auto" w:fill="auto"/>
            <w:noWrap/>
            <w:vAlign w:val="center"/>
          </w:tcPr>
          <w:p>
            <w:pPr>
              <w:widowControl/>
              <w:spacing w:line="360" w:lineRule="exact"/>
              <w:jc w:val="center"/>
              <w:rPr>
                <w:rFonts w:ascii="仿宋" w:hAnsi="仿宋" w:eastAsia="仿宋"/>
                <w:sz w:val="28"/>
                <w:szCs w:val="28"/>
              </w:rPr>
            </w:pPr>
            <w:r>
              <w:rPr>
                <w:rFonts w:hint="eastAsia" w:ascii="仿宋" w:hAnsi="仿宋" w:eastAsia="仿宋"/>
                <w:sz w:val="28"/>
                <w:szCs w:val="28"/>
              </w:rPr>
              <w:t>鹏飞校区</w:t>
            </w:r>
          </w:p>
          <w:p>
            <w:pPr>
              <w:widowControl/>
              <w:spacing w:line="280" w:lineRule="exact"/>
              <w:jc w:val="center"/>
              <w:rPr>
                <w:rFonts w:ascii="仿宋" w:hAnsi="仿宋" w:eastAsia="仿宋"/>
                <w:sz w:val="28"/>
                <w:szCs w:val="28"/>
              </w:rPr>
            </w:pPr>
            <w:r>
              <w:rPr>
                <w:rFonts w:hint="eastAsia" w:ascii="仿宋" w:hAnsi="仿宋" w:eastAsia="仿宋"/>
                <w:szCs w:val="21"/>
              </w:rPr>
              <w:t>地址：南宁市西乡塘区鹏飞路15号</w:t>
            </w:r>
          </w:p>
        </w:tc>
        <w:tc>
          <w:tcPr>
            <w:tcW w:w="1633" w:type="dxa"/>
            <w:tcBorders>
              <w:tl2br w:val="nil"/>
              <w:tr2bl w:val="nil"/>
            </w:tcBorders>
            <w:shd w:val="clear" w:color="auto" w:fill="auto"/>
            <w:noWrap/>
            <w:vAlign w:val="center"/>
          </w:tcPr>
          <w:p>
            <w:pPr>
              <w:widowControl/>
              <w:spacing w:line="360" w:lineRule="exact"/>
              <w:jc w:val="center"/>
              <w:rPr>
                <w:rFonts w:ascii="仿宋" w:hAnsi="仿宋" w:eastAsia="仿宋"/>
                <w:sz w:val="28"/>
                <w:szCs w:val="28"/>
              </w:rPr>
            </w:pPr>
            <w:r>
              <w:rPr>
                <w:rFonts w:hint="eastAsia" w:ascii="仿宋" w:hAnsi="仿宋" w:eastAsia="仿宋"/>
                <w:sz w:val="28"/>
                <w:szCs w:val="28"/>
              </w:rPr>
              <w:t>寒暑假各1次</w:t>
            </w:r>
          </w:p>
        </w:tc>
        <w:tc>
          <w:tcPr>
            <w:tcW w:w="1470" w:type="dxa"/>
            <w:tcBorders>
              <w:tl2br w:val="nil"/>
              <w:tr2bl w:val="nil"/>
            </w:tcBorders>
            <w:shd w:val="clear" w:color="auto" w:fill="auto"/>
            <w:noWrap/>
            <w:vAlign w:val="center"/>
          </w:tcPr>
          <w:p>
            <w:pPr>
              <w:widowControl/>
              <w:spacing w:line="360" w:lineRule="exact"/>
              <w:jc w:val="center"/>
              <w:rPr>
                <w:rFonts w:ascii="仿宋" w:hAnsi="仿宋" w:eastAsia="仿宋"/>
                <w:sz w:val="28"/>
                <w:szCs w:val="28"/>
              </w:rPr>
            </w:pPr>
            <w:r>
              <w:rPr>
                <w:rFonts w:hint="eastAsia" w:ascii="仿宋" w:hAnsi="仿宋" w:eastAsia="仿宋"/>
                <w:sz w:val="28"/>
                <w:szCs w:val="28"/>
              </w:rPr>
              <w:t>约</w:t>
            </w:r>
            <w:r>
              <w:rPr>
                <w:rFonts w:ascii="仿宋" w:hAnsi="仿宋" w:eastAsia="仿宋"/>
                <w:sz w:val="28"/>
                <w:szCs w:val="28"/>
              </w:rPr>
              <w:t>60</w:t>
            </w:r>
            <w:r>
              <w:rPr>
                <w:rFonts w:ascii="Segoe UI Symbol" w:hAnsi="Segoe UI Symbol" w:eastAsia="微软雅黑" w:cs="Segoe UI Symbol"/>
                <w:sz w:val="28"/>
                <w:szCs w:val="28"/>
              </w:rPr>
              <w:t>㎥</w:t>
            </w:r>
          </w:p>
          <w:p>
            <w:pPr>
              <w:widowControl/>
              <w:spacing w:line="360" w:lineRule="exact"/>
              <w:jc w:val="center"/>
              <w:rPr>
                <w:rFonts w:ascii="仿宋" w:hAnsi="仿宋" w:eastAsia="仿宋"/>
                <w:sz w:val="28"/>
                <w:szCs w:val="28"/>
                <w:highlight w:val="yellow"/>
              </w:rPr>
            </w:pPr>
            <w:r>
              <w:rPr>
                <w:rFonts w:hint="eastAsia" w:ascii="仿宋" w:hAnsi="仿宋" w:eastAsia="仿宋"/>
                <w:sz w:val="28"/>
                <w:szCs w:val="28"/>
              </w:rPr>
              <w:t>/个</w:t>
            </w:r>
          </w:p>
        </w:tc>
        <w:tc>
          <w:tcPr>
            <w:tcW w:w="1750" w:type="dxa"/>
            <w:tcBorders>
              <w:tl2br w:val="nil"/>
              <w:tr2bl w:val="nil"/>
            </w:tcBorders>
            <w:shd w:val="clear" w:color="auto" w:fill="auto"/>
            <w:noWrap/>
            <w:vAlign w:val="center"/>
          </w:tcPr>
          <w:p>
            <w:pPr>
              <w:widowControl/>
              <w:spacing w:line="360" w:lineRule="exact"/>
              <w:jc w:val="center"/>
              <w:rPr>
                <w:rFonts w:ascii="仿宋" w:hAnsi="仿宋" w:eastAsia="仿宋"/>
                <w:sz w:val="28"/>
                <w:szCs w:val="28"/>
              </w:rPr>
            </w:pPr>
            <w:r>
              <w:rPr>
                <w:rFonts w:hint="eastAsia" w:ascii="仿宋" w:hAnsi="仿宋" w:eastAsia="仿宋"/>
                <w:sz w:val="28"/>
                <w:szCs w:val="28"/>
              </w:rPr>
              <w:t>16</w:t>
            </w:r>
          </w:p>
        </w:tc>
        <w:tc>
          <w:tcPr>
            <w:tcW w:w="1613" w:type="dxa"/>
            <w:tcBorders>
              <w:tl2br w:val="nil"/>
              <w:tr2bl w:val="nil"/>
            </w:tcBorders>
            <w:shd w:val="clear" w:color="auto" w:fill="auto"/>
            <w:noWrap/>
            <w:vAlign w:val="center"/>
          </w:tcPr>
          <w:p>
            <w:pPr>
              <w:widowControl/>
              <w:spacing w:line="360" w:lineRule="exact"/>
              <w:jc w:val="center"/>
              <w:rPr>
                <w:rFonts w:ascii="仿宋" w:hAnsi="仿宋" w:eastAsia="仿宋"/>
                <w:sz w:val="28"/>
                <w:szCs w:val="28"/>
              </w:rPr>
            </w:pPr>
            <w:r>
              <w:rPr>
                <w:rFonts w:hint="eastAsia" w:ascii="仿宋" w:hAnsi="仿宋" w:eastAsia="仿宋"/>
                <w:sz w:val="28"/>
                <w:szCs w:val="28"/>
              </w:rPr>
              <w:t>2</w:t>
            </w:r>
          </w:p>
        </w:tc>
        <w:tc>
          <w:tcPr>
            <w:tcW w:w="1767" w:type="dxa"/>
            <w:vMerge w:val="continue"/>
            <w:tcBorders>
              <w:tl2br w:val="nil"/>
              <w:tr2bl w:val="nil"/>
            </w:tcBorders>
            <w:shd w:val="clear" w:color="auto" w:fill="auto"/>
            <w:noWrap/>
            <w:vAlign w:val="center"/>
          </w:tcPr>
          <w:p>
            <w:pPr>
              <w:widowControl/>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272" w:hRule="atLeast"/>
          <w:jc w:val="center"/>
        </w:trPr>
        <w:tc>
          <w:tcPr>
            <w:tcW w:w="1488" w:type="dxa"/>
            <w:tcBorders>
              <w:tl2br w:val="nil"/>
              <w:tr2bl w:val="nil"/>
            </w:tcBorders>
            <w:shd w:val="clear" w:color="auto" w:fill="auto"/>
            <w:noWrap/>
            <w:vAlign w:val="center"/>
          </w:tcPr>
          <w:p>
            <w:pPr>
              <w:widowControl/>
              <w:spacing w:line="360" w:lineRule="exact"/>
              <w:jc w:val="center"/>
              <w:rPr>
                <w:rFonts w:ascii="仿宋" w:hAnsi="仿宋" w:eastAsia="仿宋"/>
                <w:sz w:val="28"/>
                <w:szCs w:val="28"/>
              </w:rPr>
            </w:pPr>
            <w:r>
              <w:rPr>
                <w:rFonts w:hint="eastAsia" w:ascii="仿宋" w:hAnsi="仿宋" w:eastAsia="仿宋"/>
                <w:sz w:val="28"/>
                <w:szCs w:val="28"/>
              </w:rPr>
              <w:t>武鸣东区</w:t>
            </w:r>
          </w:p>
          <w:p>
            <w:pPr>
              <w:widowControl/>
              <w:spacing w:line="280" w:lineRule="exact"/>
              <w:jc w:val="center"/>
              <w:rPr>
                <w:rFonts w:ascii="仿宋" w:hAnsi="仿宋" w:eastAsia="仿宋"/>
                <w:sz w:val="28"/>
                <w:szCs w:val="28"/>
              </w:rPr>
            </w:pPr>
            <w:r>
              <w:rPr>
                <w:rFonts w:hint="eastAsia" w:ascii="仿宋" w:hAnsi="仿宋" w:eastAsia="仿宋"/>
                <w:szCs w:val="21"/>
              </w:rPr>
              <w:t>地址：南宁市武鸣区城厢红岭大道588号</w:t>
            </w:r>
          </w:p>
        </w:tc>
        <w:tc>
          <w:tcPr>
            <w:tcW w:w="1633" w:type="dxa"/>
            <w:tcBorders>
              <w:tl2br w:val="nil"/>
              <w:tr2bl w:val="nil"/>
            </w:tcBorders>
            <w:shd w:val="clear" w:color="auto" w:fill="auto"/>
            <w:noWrap/>
            <w:vAlign w:val="center"/>
          </w:tcPr>
          <w:p>
            <w:pPr>
              <w:widowControl/>
              <w:spacing w:line="360" w:lineRule="exact"/>
              <w:jc w:val="center"/>
              <w:rPr>
                <w:rFonts w:ascii="仿宋" w:hAnsi="仿宋" w:eastAsia="仿宋"/>
                <w:sz w:val="28"/>
                <w:szCs w:val="28"/>
              </w:rPr>
            </w:pPr>
            <w:r>
              <w:rPr>
                <w:rFonts w:hint="eastAsia" w:ascii="仿宋" w:hAnsi="仿宋" w:eastAsia="仿宋"/>
                <w:sz w:val="28"/>
                <w:szCs w:val="28"/>
              </w:rPr>
              <w:t>寒暑假各1次</w:t>
            </w:r>
          </w:p>
        </w:tc>
        <w:tc>
          <w:tcPr>
            <w:tcW w:w="1470" w:type="dxa"/>
            <w:tcBorders>
              <w:tl2br w:val="nil"/>
              <w:tr2bl w:val="nil"/>
            </w:tcBorders>
            <w:shd w:val="clear" w:color="auto" w:fill="auto"/>
            <w:noWrap/>
            <w:vAlign w:val="center"/>
          </w:tcPr>
          <w:p>
            <w:pPr>
              <w:widowControl/>
              <w:spacing w:line="360" w:lineRule="exact"/>
              <w:jc w:val="center"/>
              <w:rPr>
                <w:rFonts w:ascii="仿宋" w:hAnsi="仿宋" w:eastAsia="仿宋"/>
                <w:sz w:val="28"/>
                <w:szCs w:val="28"/>
              </w:rPr>
            </w:pPr>
            <w:r>
              <w:rPr>
                <w:rFonts w:hint="eastAsia" w:ascii="仿宋" w:hAnsi="仿宋" w:eastAsia="仿宋"/>
                <w:sz w:val="28"/>
                <w:szCs w:val="28"/>
              </w:rPr>
              <w:t>约</w:t>
            </w:r>
            <w:r>
              <w:rPr>
                <w:rFonts w:ascii="仿宋" w:hAnsi="仿宋" w:eastAsia="仿宋"/>
                <w:sz w:val="28"/>
                <w:szCs w:val="28"/>
              </w:rPr>
              <w:t>100</w:t>
            </w:r>
            <w:r>
              <w:rPr>
                <w:rFonts w:ascii="Segoe UI Symbol" w:hAnsi="Segoe UI Symbol" w:eastAsia="微软雅黑" w:cs="Segoe UI Symbol"/>
                <w:sz w:val="28"/>
                <w:szCs w:val="28"/>
              </w:rPr>
              <w:t>㎥</w:t>
            </w:r>
          </w:p>
          <w:p>
            <w:pPr>
              <w:widowControl/>
              <w:spacing w:line="360" w:lineRule="exact"/>
              <w:jc w:val="center"/>
              <w:rPr>
                <w:rFonts w:ascii="仿宋" w:hAnsi="仿宋" w:eastAsia="仿宋"/>
                <w:sz w:val="28"/>
                <w:szCs w:val="28"/>
                <w:highlight w:val="yellow"/>
              </w:rPr>
            </w:pPr>
            <w:r>
              <w:rPr>
                <w:rFonts w:hint="eastAsia" w:ascii="仿宋" w:hAnsi="仿宋" w:eastAsia="仿宋"/>
                <w:sz w:val="28"/>
                <w:szCs w:val="28"/>
              </w:rPr>
              <w:t>/个</w:t>
            </w:r>
          </w:p>
        </w:tc>
        <w:tc>
          <w:tcPr>
            <w:tcW w:w="1750" w:type="dxa"/>
            <w:tcBorders>
              <w:tl2br w:val="nil"/>
              <w:tr2bl w:val="nil"/>
            </w:tcBorders>
            <w:shd w:val="clear" w:color="auto" w:fill="auto"/>
            <w:noWrap/>
            <w:vAlign w:val="center"/>
          </w:tcPr>
          <w:p>
            <w:pPr>
              <w:widowControl/>
              <w:spacing w:line="360" w:lineRule="exact"/>
              <w:jc w:val="center"/>
              <w:rPr>
                <w:rFonts w:ascii="仿宋" w:hAnsi="仿宋" w:eastAsia="仿宋"/>
                <w:sz w:val="28"/>
                <w:szCs w:val="28"/>
              </w:rPr>
            </w:pPr>
            <w:r>
              <w:rPr>
                <w:rFonts w:hint="eastAsia" w:ascii="仿宋" w:hAnsi="仿宋" w:eastAsia="仿宋"/>
                <w:sz w:val="28"/>
                <w:szCs w:val="28"/>
              </w:rPr>
              <w:t>11</w:t>
            </w:r>
          </w:p>
        </w:tc>
        <w:tc>
          <w:tcPr>
            <w:tcW w:w="1613" w:type="dxa"/>
            <w:tcBorders>
              <w:tl2br w:val="nil"/>
              <w:tr2bl w:val="nil"/>
            </w:tcBorders>
            <w:shd w:val="clear" w:color="auto" w:fill="auto"/>
            <w:noWrap/>
            <w:vAlign w:val="center"/>
          </w:tcPr>
          <w:p>
            <w:pPr>
              <w:widowControl/>
              <w:spacing w:line="360" w:lineRule="exact"/>
              <w:jc w:val="center"/>
              <w:rPr>
                <w:rFonts w:ascii="仿宋" w:hAnsi="仿宋" w:eastAsia="仿宋"/>
                <w:sz w:val="28"/>
                <w:szCs w:val="28"/>
              </w:rPr>
            </w:pPr>
            <w:r>
              <w:rPr>
                <w:rFonts w:hint="eastAsia" w:ascii="仿宋" w:hAnsi="仿宋" w:eastAsia="仿宋"/>
                <w:sz w:val="28"/>
                <w:szCs w:val="28"/>
              </w:rPr>
              <w:t>2</w:t>
            </w:r>
          </w:p>
        </w:tc>
        <w:tc>
          <w:tcPr>
            <w:tcW w:w="1767" w:type="dxa"/>
            <w:vMerge w:val="continue"/>
            <w:tcBorders>
              <w:tl2br w:val="nil"/>
              <w:tr2bl w:val="nil"/>
            </w:tcBorders>
            <w:shd w:val="clear" w:color="auto" w:fill="auto"/>
            <w:noWrap/>
            <w:vAlign w:val="center"/>
          </w:tcPr>
          <w:p>
            <w:pPr>
              <w:widowControl/>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272" w:hRule="atLeast"/>
          <w:jc w:val="center"/>
        </w:trPr>
        <w:tc>
          <w:tcPr>
            <w:tcW w:w="1488" w:type="dxa"/>
            <w:tcBorders>
              <w:tl2br w:val="nil"/>
              <w:tr2bl w:val="nil"/>
            </w:tcBorders>
            <w:shd w:val="clear" w:color="auto" w:fill="auto"/>
            <w:noWrap/>
            <w:vAlign w:val="center"/>
          </w:tcPr>
          <w:p>
            <w:pPr>
              <w:widowControl/>
              <w:spacing w:line="360" w:lineRule="exact"/>
              <w:jc w:val="center"/>
              <w:rPr>
                <w:rFonts w:ascii="仿宋" w:hAnsi="仿宋" w:eastAsia="仿宋"/>
                <w:sz w:val="28"/>
                <w:szCs w:val="28"/>
              </w:rPr>
            </w:pPr>
            <w:r>
              <w:rPr>
                <w:rFonts w:hint="eastAsia" w:ascii="仿宋" w:hAnsi="仿宋" w:eastAsia="仿宋"/>
                <w:sz w:val="28"/>
                <w:szCs w:val="28"/>
              </w:rPr>
              <w:t>武鸣西区</w:t>
            </w:r>
          </w:p>
          <w:p>
            <w:pPr>
              <w:widowControl/>
              <w:spacing w:line="280" w:lineRule="exact"/>
              <w:jc w:val="center"/>
              <w:rPr>
                <w:rFonts w:ascii="仿宋" w:hAnsi="仿宋" w:eastAsia="仿宋"/>
                <w:sz w:val="28"/>
                <w:szCs w:val="28"/>
                <w:highlight w:val="yellow"/>
              </w:rPr>
            </w:pPr>
            <w:r>
              <w:rPr>
                <w:rFonts w:hint="eastAsia" w:ascii="仿宋" w:hAnsi="仿宋" w:eastAsia="仿宋"/>
                <w:szCs w:val="21"/>
              </w:rPr>
              <w:t>地址：南宁市武鸣区城厢红岭大道</w:t>
            </w:r>
            <w:r>
              <w:rPr>
                <w:rFonts w:ascii="仿宋" w:hAnsi="仿宋" w:eastAsia="仿宋"/>
                <w:szCs w:val="21"/>
              </w:rPr>
              <w:t>588号</w:t>
            </w:r>
          </w:p>
        </w:tc>
        <w:tc>
          <w:tcPr>
            <w:tcW w:w="1633" w:type="dxa"/>
            <w:tcBorders>
              <w:tl2br w:val="nil"/>
              <w:tr2bl w:val="nil"/>
            </w:tcBorders>
            <w:shd w:val="clear" w:color="auto" w:fill="auto"/>
            <w:noWrap/>
            <w:vAlign w:val="center"/>
          </w:tcPr>
          <w:p>
            <w:pPr>
              <w:widowControl/>
              <w:spacing w:line="360" w:lineRule="exact"/>
              <w:jc w:val="center"/>
              <w:rPr>
                <w:rFonts w:ascii="仿宋" w:hAnsi="仿宋" w:eastAsia="仿宋"/>
                <w:sz w:val="28"/>
                <w:szCs w:val="28"/>
                <w:highlight w:val="yellow"/>
              </w:rPr>
            </w:pPr>
            <w:r>
              <w:rPr>
                <w:rFonts w:hint="eastAsia" w:ascii="仿宋" w:hAnsi="仿宋" w:eastAsia="仿宋"/>
                <w:sz w:val="28"/>
                <w:szCs w:val="28"/>
              </w:rPr>
              <w:t>寒假1次</w:t>
            </w:r>
          </w:p>
        </w:tc>
        <w:tc>
          <w:tcPr>
            <w:tcW w:w="1470" w:type="dxa"/>
            <w:tcBorders>
              <w:tl2br w:val="nil"/>
              <w:tr2bl w:val="nil"/>
            </w:tcBorders>
            <w:shd w:val="clear" w:color="auto" w:fill="auto"/>
            <w:noWrap/>
            <w:vAlign w:val="center"/>
          </w:tcPr>
          <w:p>
            <w:pPr>
              <w:widowControl/>
              <w:spacing w:line="360" w:lineRule="exact"/>
              <w:jc w:val="center"/>
              <w:rPr>
                <w:rFonts w:ascii="仿宋" w:hAnsi="仿宋" w:eastAsia="仿宋"/>
                <w:sz w:val="28"/>
                <w:szCs w:val="28"/>
              </w:rPr>
            </w:pPr>
            <w:r>
              <w:rPr>
                <w:rFonts w:hint="eastAsia" w:ascii="仿宋" w:hAnsi="仿宋" w:eastAsia="仿宋"/>
                <w:sz w:val="28"/>
                <w:szCs w:val="28"/>
              </w:rPr>
              <w:t>约</w:t>
            </w:r>
            <w:r>
              <w:rPr>
                <w:rFonts w:ascii="仿宋" w:hAnsi="仿宋" w:eastAsia="仿宋"/>
                <w:sz w:val="28"/>
                <w:szCs w:val="28"/>
              </w:rPr>
              <w:t>100</w:t>
            </w:r>
            <w:r>
              <w:rPr>
                <w:rFonts w:ascii="Segoe UI Symbol" w:hAnsi="Segoe UI Symbol" w:eastAsia="微软雅黑" w:cs="Segoe UI Symbol"/>
                <w:sz w:val="28"/>
                <w:szCs w:val="28"/>
              </w:rPr>
              <w:t>㎥</w:t>
            </w:r>
          </w:p>
          <w:p>
            <w:pPr>
              <w:widowControl/>
              <w:spacing w:line="360" w:lineRule="exact"/>
              <w:jc w:val="center"/>
              <w:rPr>
                <w:rFonts w:ascii="仿宋" w:hAnsi="仿宋" w:eastAsia="仿宋"/>
                <w:sz w:val="28"/>
                <w:szCs w:val="28"/>
                <w:highlight w:val="yellow"/>
              </w:rPr>
            </w:pPr>
            <w:r>
              <w:rPr>
                <w:rFonts w:hint="eastAsia" w:ascii="仿宋" w:hAnsi="仿宋" w:eastAsia="仿宋"/>
                <w:sz w:val="28"/>
                <w:szCs w:val="28"/>
              </w:rPr>
              <w:t>/个</w:t>
            </w:r>
          </w:p>
        </w:tc>
        <w:tc>
          <w:tcPr>
            <w:tcW w:w="1750" w:type="dxa"/>
            <w:tcBorders>
              <w:tl2br w:val="nil"/>
              <w:tr2bl w:val="nil"/>
            </w:tcBorders>
            <w:shd w:val="clear" w:color="auto" w:fill="auto"/>
            <w:noWrap/>
            <w:vAlign w:val="center"/>
          </w:tcPr>
          <w:p>
            <w:pPr>
              <w:widowControl/>
              <w:spacing w:line="360" w:lineRule="exact"/>
              <w:jc w:val="center"/>
              <w:rPr>
                <w:rFonts w:ascii="仿宋" w:hAnsi="仿宋" w:eastAsia="仿宋"/>
                <w:sz w:val="28"/>
                <w:szCs w:val="28"/>
                <w:highlight w:val="yellow"/>
              </w:rPr>
            </w:pPr>
            <w:r>
              <w:rPr>
                <w:rFonts w:hint="eastAsia" w:ascii="仿宋" w:hAnsi="仿宋" w:eastAsia="仿宋"/>
                <w:sz w:val="28"/>
                <w:szCs w:val="28"/>
              </w:rPr>
              <w:t>9</w:t>
            </w:r>
          </w:p>
        </w:tc>
        <w:tc>
          <w:tcPr>
            <w:tcW w:w="1613" w:type="dxa"/>
            <w:tcBorders>
              <w:tl2br w:val="nil"/>
              <w:tr2bl w:val="nil"/>
            </w:tcBorders>
            <w:shd w:val="clear" w:color="auto" w:fill="auto"/>
            <w:noWrap/>
            <w:vAlign w:val="center"/>
          </w:tcPr>
          <w:p>
            <w:pPr>
              <w:widowControl/>
              <w:spacing w:line="360" w:lineRule="exact"/>
              <w:jc w:val="center"/>
              <w:rPr>
                <w:rFonts w:ascii="仿宋" w:hAnsi="仿宋" w:eastAsia="仿宋"/>
                <w:sz w:val="28"/>
                <w:szCs w:val="28"/>
                <w:highlight w:val="yellow"/>
              </w:rPr>
            </w:pPr>
            <w:r>
              <w:rPr>
                <w:rFonts w:hint="eastAsia" w:ascii="仿宋" w:hAnsi="仿宋" w:eastAsia="仿宋"/>
                <w:sz w:val="28"/>
                <w:szCs w:val="28"/>
              </w:rPr>
              <w:t>1</w:t>
            </w:r>
          </w:p>
        </w:tc>
        <w:tc>
          <w:tcPr>
            <w:tcW w:w="1767" w:type="dxa"/>
            <w:vMerge w:val="continue"/>
            <w:tcBorders>
              <w:tl2br w:val="nil"/>
              <w:tr2bl w:val="nil"/>
            </w:tcBorders>
            <w:shd w:val="clear" w:color="auto" w:fill="auto"/>
            <w:noWrap/>
            <w:vAlign w:val="center"/>
          </w:tcPr>
          <w:p>
            <w:pPr>
              <w:widowControl/>
              <w:spacing w:line="560" w:lineRule="exact"/>
              <w:jc w:val="center"/>
              <w:rPr>
                <w:rFonts w:ascii="仿宋" w:hAnsi="仿宋" w:eastAsia="仿宋"/>
                <w:sz w:val="32"/>
                <w:szCs w:val="32"/>
              </w:rPr>
            </w:pPr>
          </w:p>
        </w:tc>
      </w:tr>
    </w:tbl>
    <w:p>
      <w:pPr>
        <w:pStyle w:val="2"/>
      </w:pPr>
    </w:p>
    <w:tbl>
      <w:tblPr>
        <w:tblStyle w:val="17"/>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4"/>
        <w:gridCol w:w="7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7" w:type="dxa"/>
            <w:gridSpan w:val="2"/>
            <w:vAlign w:val="center"/>
          </w:tcPr>
          <w:p>
            <w:pPr>
              <w:spacing w:line="540" w:lineRule="exact"/>
              <w:jc w:val="left"/>
              <w:rPr>
                <w:rFonts w:ascii="宋体" w:hAnsi="宋体" w:cs="宋体"/>
                <w:b/>
                <w:sz w:val="28"/>
                <w:szCs w:val="28"/>
              </w:rPr>
            </w:pPr>
            <w:r>
              <w:rPr>
                <w:rFonts w:hint="eastAsia" w:ascii="宋体" w:hAnsi="宋体" w:cs="宋体"/>
                <w:b/>
                <w:sz w:val="28"/>
                <w:szCs w:val="28"/>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vAlign w:val="center"/>
          </w:tcPr>
          <w:p>
            <w:pPr>
              <w:jc w:val="center"/>
              <w:rPr>
                <w:rFonts w:ascii="宋体" w:hAnsi="宋体" w:cs="宋体"/>
                <w:b/>
                <w:sz w:val="24"/>
              </w:rPr>
            </w:pPr>
            <w:bookmarkStart w:id="17" w:name="_GoBack" w:colFirst="1" w:colLast="1"/>
            <w:r>
              <w:rPr>
                <w:rFonts w:hint="eastAsia" w:ascii="宋体" w:hAnsi="宋体" w:cs="宋体"/>
                <w:b/>
                <w:sz w:val="24"/>
              </w:rPr>
              <w:t>服务期限</w:t>
            </w:r>
          </w:p>
          <w:p>
            <w:pPr>
              <w:jc w:val="center"/>
              <w:rPr>
                <w:rFonts w:ascii="宋体" w:hAnsi="宋体" w:cs="宋体"/>
                <w:b/>
                <w:sz w:val="24"/>
              </w:rPr>
            </w:pPr>
            <w:r>
              <w:rPr>
                <w:rFonts w:hint="eastAsia" w:ascii="宋体" w:hAnsi="宋体" w:cs="宋体"/>
                <w:b/>
                <w:sz w:val="24"/>
              </w:rPr>
              <w:t>和地点</w:t>
            </w:r>
          </w:p>
        </w:tc>
        <w:tc>
          <w:tcPr>
            <w:tcW w:w="7543" w:type="dxa"/>
            <w:vAlign w:val="center"/>
          </w:tcPr>
          <w:p>
            <w:pPr>
              <w:spacing w:line="360" w:lineRule="auto"/>
              <w:jc w:val="left"/>
              <w:rPr>
                <w:rFonts w:ascii="宋体" w:hAnsi="宋体" w:cs="宋体"/>
                <w:sz w:val="21"/>
                <w:szCs w:val="21"/>
              </w:rPr>
            </w:pPr>
            <w:r>
              <w:rPr>
                <w:rFonts w:hint="eastAsia" w:ascii="宋体" w:hAnsi="宋体" w:cs="宋体"/>
                <w:sz w:val="21"/>
                <w:szCs w:val="21"/>
              </w:rPr>
              <w:t>服务时间：一年（即从202</w:t>
            </w:r>
            <w:r>
              <w:rPr>
                <w:rFonts w:ascii="宋体" w:hAnsi="宋体" w:cs="宋体"/>
                <w:sz w:val="21"/>
                <w:szCs w:val="21"/>
              </w:rPr>
              <w:t>3</w:t>
            </w:r>
            <w:r>
              <w:rPr>
                <w:rFonts w:hint="eastAsia" w:ascii="宋体" w:hAnsi="宋体" w:cs="宋体"/>
                <w:sz w:val="21"/>
                <w:szCs w:val="21"/>
              </w:rPr>
              <w:t>年</w:t>
            </w:r>
            <w:r>
              <w:rPr>
                <w:rFonts w:ascii="宋体" w:hAnsi="宋体" w:cs="宋体"/>
                <w:sz w:val="21"/>
                <w:szCs w:val="21"/>
              </w:rPr>
              <w:t>8</w:t>
            </w:r>
            <w:r>
              <w:rPr>
                <w:rFonts w:hint="eastAsia" w:ascii="宋体" w:hAnsi="宋体" w:cs="宋体"/>
                <w:sz w:val="21"/>
                <w:szCs w:val="21"/>
              </w:rPr>
              <w:t>月至202</w:t>
            </w:r>
            <w:r>
              <w:rPr>
                <w:rFonts w:ascii="宋体" w:hAnsi="宋体" w:cs="宋体"/>
                <w:sz w:val="21"/>
                <w:szCs w:val="21"/>
              </w:rPr>
              <w:t>4</w:t>
            </w:r>
            <w:r>
              <w:rPr>
                <w:rFonts w:hint="eastAsia" w:ascii="宋体" w:hAnsi="宋体" w:cs="宋体"/>
                <w:sz w:val="21"/>
                <w:szCs w:val="21"/>
              </w:rPr>
              <w:t>年8月）</w:t>
            </w:r>
            <w:r>
              <w:rPr>
                <w:rFonts w:hint="eastAsia" w:ascii="宋体" w:hAnsi="宋体" w:cs="宋体"/>
                <w:sz w:val="21"/>
                <w:szCs w:val="21"/>
                <w:highlight w:val="yellow"/>
                <w:lang w:eastAsia="zh-CN"/>
              </w:rPr>
              <w:t>日期</w:t>
            </w:r>
            <w:r>
              <w:rPr>
                <w:rFonts w:hint="eastAsia" w:ascii="宋体" w:hAnsi="宋体" w:cs="宋体"/>
                <w:sz w:val="21"/>
                <w:szCs w:val="21"/>
                <w:highlight w:val="yellow"/>
              </w:rPr>
              <w:t>以具体签订合同时间为准</w:t>
            </w:r>
            <w:r>
              <w:rPr>
                <w:rFonts w:hint="eastAsia" w:ascii="宋体" w:hAnsi="宋体" w:cs="宋体"/>
                <w:sz w:val="21"/>
                <w:szCs w:val="21"/>
              </w:rPr>
              <w:t>。</w:t>
            </w:r>
          </w:p>
          <w:p>
            <w:pPr>
              <w:spacing w:line="360" w:lineRule="auto"/>
              <w:jc w:val="left"/>
              <w:rPr>
                <w:rFonts w:ascii="宋体" w:hAnsi="宋体" w:cs="宋体"/>
                <w:sz w:val="21"/>
                <w:szCs w:val="21"/>
              </w:rPr>
            </w:pPr>
            <w:r>
              <w:rPr>
                <w:rFonts w:hint="eastAsia" w:ascii="宋体" w:hAnsi="宋体" w:cs="宋体"/>
                <w:sz w:val="21"/>
                <w:szCs w:val="21"/>
              </w:rPr>
              <w:t>服务地点：广西工商职业技术学院鹏飞校区、中尧校区、武鸣校区。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34" w:type="dxa"/>
            <w:vAlign w:val="center"/>
          </w:tcPr>
          <w:p>
            <w:pPr>
              <w:jc w:val="center"/>
              <w:rPr>
                <w:rFonts w:ascii="宋体" w:hAnsi="宋体" w:cs="宋体"/>
                <w:b/>
                <w:sz w:val="24"/>
              </w:rPr>
            </w:pPr>
            <w:r>
              <w:rPr>
                <w:rFonts w:hint="eastAsia" w:ascii="宋体" w:hAnsi="宋体" w:cs="宋体"/>
                <w:b/>
                <w:sz w:val="24"/>
              </w:rPr>
              <w:t>服务要求</w:t>
            </w:r>
          </w:p>
        </w:tc>
        <w:tc>
          <w:tcPr>
            <w:tcW w:w="7543" w:type="dxa"/>
            <w:vAlign w:val="center"/>
          </w:tcPr>
          <w:p>
            <w:pPr>
              <w:spacing w:line="360" w:lineRule="auto"/>
              <w:jc w:val="left"/>
              <w:rPr>
                <w:rFonts w:ascii="宋体" w:hAnsi="宋体" w:cs="宋体"/>
                <w:sz w:val="21"/>
                <w:szCs w:val="21"/>
              </w:rPr>
            </w:pPr>
            <w:r>
              <w:rPr>
                <w:rFonts w:hint="eastAsia" w:ascii="宋体" w:hAnsi="宋体" w:cs="宋体"/>
                <w:sz w:val="21"/>
                <w:szCs w:val="21"/>
              </w:rPr>
              <w:t>1、乙方在合同期内免费提供6次疏通服务（</w:t>
            </w:r>
            <w:r>
              <w:rPr>
                <w:rFonts w:hint="eastAsia" w:ascii="宋体" w:hAnsi="宋体" w:cs="宋体"/>
                <w:szCs w:val="21"/>
                <w:highlight w:val="cyan"/>
              </w:rPr>
              <w:t>“1次”指的是以同一楼栋为单位的同一地点，不论疏通的管道的数量及疏通的方式</w:t>
            </w:r>
            <w:r>
              <w:rPr>
                <w:rFonts w:hint="eastAsia" w:ascii="宋体" w:hAnsi="宋体" w:cs="宋体"/>
                <w:szCs w:val="21"/>
                <w:highlight w:val="yellow"/>
              </w:rPr>
              <w:t>，确保被堵塞的管道疏通</w:t>
            </w:r>
            <w:r>
              <w:rPr>
                <w:rFonts w:hint="eastAsia" w:ascii="宋体" w:hAnsi="宋体" w:cs="宋体"/>
                <w:sz w:val="21"/>
                <w:szCs w:val="21"/>
              </w:rPr>
              <w:t>）。</w:t>
            </w:r>
          </w:p>
          <w:p>
            <w:pPr>
              <w:spacing w:line="360" w:lineRule="auto"/>
              <w:jc w:val="left"/>
              <w:rPr>
                <w:rFonts w:ascii="宋体" w:hAnsi="宋体" w:cs="宋体"/>
                <w:sz w:val="21"/>
                <w:szCs w:val="21"/>
              </w:rPr>
            </w:pPr>
            <w:r>
              <w:rPr>
                <w:rFonts w:hint="eastAsia" w:ascii="宋体" w:hAnsi="宋体" w:cs="宋体"/>
                <w:sz w:val="21"/>
                <w:szCs w:val="21"/>
              </w:rPr>
              <w:t>2、</w:t>
            </w:r>
            <w:r>
              <w:rPr>
                <w:rFonts w:hint="eastAsia" w:ascii="宋体" w:hAnsi="宋体" w:cs="宋体"/>
                <w:sz w:val="21"/>
                <w:szCs w:val="21"/>
                <w:highlight w:val="cyan"/>
              </w:rPr>
              <w:t>集中抽污</w:t>
            </w:r>
            <w:r>
              <w:rPr>
                <w:rFonts w:hint="eastAsia" w:ascii="宋体" w:hAnsi="宋体" w:cs="宋体"/>
                <w:sz w:val="21"/>
                <w:szCs w:val="21"/>
              </w:rPr>
              <w:t>工作周期：乙方需在接到学院通知后10天内清理完毕。</w:t>
            </w:r>
          </w:p>
          <w:p>
            <w:pPr>
              <w:spacing w:line="360" w:lineRule="auto"/>
              <w:jc w:val="left"/>
              <w:rPr>
                <w:rFonts w:ascii="宋体" w:hAnsi="宋体" w:cs="宋体"/>
                <w:sz w:val="21"/>
                <w:szCs w:val="21"/>
              </w:rPr>
            </w:pPr>
            <w:r>
              <w:rPr>
                <w:rFonts w:hint="eastAsia" w:ascii="宋体" w:hAnsi="宋体" w:cs="宋体"/>
                <w:sz w:val="21"/>
                <w:szCs w:val="21"/>
              </w:rPr>
              <w:t>3、响应要求：如发生管道堵塞，乙方在接到甲方通知后须在限定时间内（中尧、鹏飞校区4小时，武鸣校区6小时）抵达事故现场开展工作，并承诺在抵达现场后12小时内解决问题。</w:t>
            </w:r>
          </w:p>
          <w:p>
            <w:pPr>
              <w:spacing w:line="360" w:lineRule="auto"/>
              <w:jc w:val="left"/>
              <w:rPr>
                <w:rFonts w:ascii="宋体" w:hAnsi="宋体" w:cs="宋体"/>
                <w:sz w:val="21"/>
                <w:szCs w:val="21"/>
              </w:rPr>
            </w:pPr>
            <w:r>
              <w:rPr>
                <w:rFonts w:hint="eastAsia" w:ascii="宋体" w:hAnsi="宋体" w:cs="宋体"/>
                <w:sz w:val="21"/>
                <w:szCs w:val="21"/>
              </w:rPr>
              <w:t>4、乙方在工作期间应遵守学院的规章制度，服从学校管理，做到安全、文明施工。</w:t>
            </w:r>
          </w:p>
          <w:p>
            <w:pPr>
              <w:spacing w:line="360" w:lineRule="auto"/>
              <w:jc w:val="left"/>
              <w:rPr>
                <w:rFonts w:ascii="宋体" w:hAnsi="宋体" w:cs="宋体"/>
                <w:sz w:val="21"/>
                <w:szCs w:val="21"/>
              </w:rPr>
            </w:pPr>
            <w:r>
              <w:rPr>
                <w:rFonts w:hint="eastAsia" w:ascii="宋体" w:hAnsi="宋体" w:cs="宋体"/>
                <w:sz w:val="21"/>
                <w:szCs w:val="21"/>
              </w:rPr>
              <w:t>5、乙方在工作过程中应注意现场卫生环境的整洁，如造成甲方校园路面有污水或脏物的，乙方应及时冲洗干净。</w:t>
            </w:r>
          </w:p>
          <w:p>
            <w:pPr>
              <w:spacing w:line="360" w:lineRule="auto"/>
              <w:jc w:val="left"/>
              <w:rPr>
                <w:szCs w:val="21"/>
              </w:rPr>
            </w:pPr>
            <w:r>
              <w:rPr>
                <w:rFonts w:hint="eastAsia" w:ascii="宋体" w:hAnsi="宋体" w:cs="宋体"/>
                <w:sz w:val="21"/>
                <w:szCs w:val="21"/>
              </w:rPr>
              <w:t>6、乙方在工作过程中发生的安全事故由其自行承担全部责任。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34" w:type="dxa"/>
            <w:vAlign w:val="center"/>
          </w:tcPr>
          <w:p>
            <w:pPr>
              <w:jc w:val="center"/>
              <w:rPr>
                <w:rFonts w:ascii="宋体" w:hAnsi="宋体" w:cs="宋体"/>
                <w:b/>
                <w:sz w:val="24"/>
              </w:rPr>
            </w:pPr>
            <w:r>
              <w:rPr>
                <w:rFonts w:hint="eastAsia" w:ascii="宋体" w:hAnsi="宋体" w:cs="宋体"/>
                <w:b/>
                <w:sz w:val="24"/>
              </w:rPr>
              <w:t>付款条件</w:t>
            </w:r>
          </w:p>
        </w:tc>
        <w:tc>
          <w:tcPr>
            <w:tcW w:w="7543" w:type="dxa"/>
            <w:vAlign w:val="center"/>
          </w:tcPr>
          <w:p>
            <w:pPr>
              <w:spacing w:line="360" w:lineRule="auto"/>
              <w:jc w:val="left"/>
              <w:rPr>
                <w:rFonts w:ascii="宋体" w:hAnsi="宋体" w:cs="宋体"/>
                <w:sz w:val="21"/>
                <w:szCs w:val="21"/>
              </w:rPr>
            </w:pPr>
            <w:r>
              <w:rPr>
                <w:rFonts w:hint="eastAsia" w:ascii="宋体" w:hAnsi="宋体" w:cs="宋体"/>
                <w:sz w:val="21"/>
                <w:szCs w:val="21"/>
              </w:rPr>
              <w:t>按合同金额分两期支付，每清理完毕一次，经甲方相关工作人员验收合格后，甲方按合同金额的50%支付。每次支付款项前，乙方需开具结算等额、合法、有效的税务发票，并提供与合同公司名称一致的银行对公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vAlign w:val="center"/>
          </w:tcPr>
          <w:p>
            <w:pPr>
              <w:jc w:val="center"/>
              <w:rPr>
                <w:rFonts w:ascii="宋体" w:hAnsi="宋体" w:cs="宋体"/>
                <w:b/>
                <w:sz w:val="24"/>
              </w:rPr>
            </w:pPr>
            <w:r>
              <w:rPr>
                <w:rFonts w:hint="eastAsia" w:ascii="宋体" w:hAnsi="宋体" w:cs="宋体"/>
                <w:b/>
                <w:sz w:val="24"/>
              </w:rPr>
              <w:t>包装和运输</w:t>
            </w:r>
          </w:p>
        </w:tc>
        <w:tc>
          <w:tcPr>
            <w:tcW w:w="7543" w:type="dxa"/>
            <w:vAlign w:val="center"/>
          </w:tcPr>
          <w:p>
            <w:pPr>
              <w:spacing w:line="360" w:lineRule="auto"/>
              <w:jc w:val="left"/>
              <w:rPr>
                <w:rFonts w:ascii="宋体" w:hAnsi="宋体" w:cs="宋体"/>
                <w:sz w:val="21"/>
                <w:szCs w:val="21"/>
              </w:rPr>
            </w:pPr>
            <w:r>
              <w:rPr>
                <w:rFonts w:hint="eastAsia" w:ascii="宋体" w:hAnsi="宋体" w:cs="宋体"/>
                <w:sz w:val="21"/>
                <w:szCs w:val="21"/>
              </w:rPr>
              <w:t>排污清运等设备、</w:t>
            </w:r>
            <w:r>
              <w:rPr>
                <w:rFonts w:hint="eastAsia" w:ascii="宋体" w:hAnsi="宋体" w:cs="宋体"/>
                <w:sz w:val="21"/>
                <w:szCs w:val="21"/>
                <w:highlight w:val="cyan"/>
              </w:rPr>
              <w:t>材料、</w:t>
            </w:r>
            <w:r>
              <w:rPr>
                <w:rFonts w:hint="eastAsia" w:ascii="宋体" w:hAnsi="宋体" w:cs="宋体"/>
                <w:sz w:val="21"/>
                <w:szCs w:val="21"/>
              </w:rPr>
              <w:t>包装及运输费等相关费用由乙方承担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vAlign w:val="center"/>
          </w:tcPr>
          <w:p>
            <w:pPr>
              <w:jc w:val="center"/>
              <w:rPr>
                <w:rFonts w:ascii="宋体" w:hAnsi="宋体" w:cs="宋体"/>
                <w:b/>
                <w:sz w:val="24"/>
              </w:rPr>
            </w:pPr>
            <w:r>
              <w:rPr>
                <w:rFonts w:hint="eastAsia" w:ascii="宋体" w:hAnsi="宋体" w:cs="宋体"/>
                <w:b/>
                <w:sz w:val="24"/>
              </w:rPr>
              <w:t>违约责任</w:t>
            </w:r>
          </w:p>
        </w:tc>
        <w:tc>
          <w:tcPr>
            <w:tcW w:w="7543" w:type="dxa"/>
            <w:vAlign w:val="center"/>
          </w:tcPr>
          <w:p>
            <w:pPr>
              <w:spacing w:line="360" w:lineRule="auto"/>
              <w:jc w:val="left"/>
              <w:rPr>
                <w:rFonts w:ascii="宋体" w:hAnsi="宋体" w:cs="宋体"/>
                <w:sz w:val="21"/>
                <w:szCs w:val="21"/>
              </w:rPr>
            </w:pPr>
            <w:r>
              <w:rPr>
                <w:rFonts w:hint="eastAsia" w:ascii="宋体" w:hAnsi="宋体" w:cs="宋体"/>
                <w:sz w:val="21"/>
                <w:szCs w:val="21"/>
              </w:rPr>
              <w:t>1、验收不通过的必须无条件返工，经两次验收仍不通过的，甲方有权扣减全部履约保证金并终止合同，不再支付任何费用；</w:t>
            </w:r>
          </w:p>
          <w:p>
            <w:pPr>
              <w:spacing w:line="360" w:lineRule="auto"/>
              <w:jc w:val="left"/>
              <w:rPr>
                <w:rFonts w:ascii="宋体" w:hAnsi="宋体" w:cs="宋体"/>
                <w:sz w:val="21"/>
                <w:szCs w:val="21"/>
              </w:rPr>
            </w:pPr>
            <w:r>
              <w:rPr>
                <w:rFonts w:hint="eastAsia" w:ascii="宋体" w:hAnsi="宋体" w:cs="宋体"/>
                <w:sz w:val="21"/>
                <w:szCs w:val="21"/>
              </w:rPr>
              <w:t>2、乙方没有在规定时间内响应的，每次扣减履约保证金1000元，当履约保证金为0时，甲方有权终止合同，不再支付任何费用；</w:t>
            </w:r>
          </w:p>
          <w:p>
            <w:pPr>
              <w:spacing w:line="360" w:lineRule="auto"/>
              <w:jc w:val="left"/>
              <w:rPr>
                <w:rFonts w:ascii="宋体" w:hAnsi="宋体" w:cs="宋体"/>
                <w:sz w:val="21"/>
                <w:szCs w:val="21"/>
              </w:rPr>
            </w:pPr>
            <w:r>
              <w:rPr>
                <w:rFonts w:hint="eastAsia" w:ascii="宋体" w:hAnsi="宋体" w:cs="宋体"/>
                <w:sz w:val="21"/>
                <w:szCs w:val="21"/>
              </w:rPr>
              <w:t>3、乙方没有在规定时间内解决问题的，甲方有权扣减全部履约保证金并终止合同，不再支付任何费用；</w:t>
            </w:r>
          </w:p>
          <w:p>
            <w:pPr>
              <w:spacing w:line="360" w:lineRule="auto"/>
              <w:jc w:val="left"/>
              <w:rPr>
                <w:rFonts w:ascii="宋体" w:hAnsi="宋体" w:cs="宋体"/>
                <w:sz w:val="21"/>
                <w:szCs w:val="21"/>
              </w:rPr>
            </w:pPr>
            <w:r>
              <w:rPr>
                <w:rFonts w:hint="eastAsia" w:ascii="宋体" w:hAnsi="宋体" w:cs="宋体"/>
                <w:sz w:val="21"/>
                <w:szCs w:val="21"/>
              </w:rPr>
              <w:t>4、乙方不按时限完成工作，每逾期一天，减少项目总金额的千分之二；逾期5天不完成工作的，甲方有权扣减全部履约保证金并终止合同，不再支付任何费用；</w:t>
            </w:r>
          </w:p>
          <w:p>
            <w:pPr>
              <w:spacing w:line="360" w:lineRule="auto"/>
              <w:jc w:val="left"/>
              <w:rPr>
                <w:rFonts w:ascii="宋体" w:hAnsi="宋体" w:cs="宋体"/>
                <w:sz w:val="21"/>
                <w:szCs w:val="21"/>
              </w:rPr>
            </w:pPr>
            <w:r>
              <w:rPr>
                <w:rFonts w:hint="eastAsia" w:ascii="宋体" w:hAnsi="宋体" w:cs="宋体"/>
                <w:sz w:val="21"/>
                <w:szCs w:val="21"/>
              </w:rPr>
              <w:t>5、乙方因弄虚作假，虚报工作成果，或违规在校内倾倒的，甲方有权扣减全部履约保证金并终止合同，不再支付任何费用；</w:t>
            </w:r>
          </w:p>
          <w:p>
            <w:pPr>
              <w:spacing w:line="360" w:lineRule="auto"/>
              <w:jc w:val="left"/>
              <w:rPr>
                <w:rFonts w:ascii="宋体" w:hAnsi="宋体" w:cs="宋体"/>
                <w:sz w:val="21"/>
                <w:szCs w:val="21"/>
              </w:rPr>
            </w:pPr>
            <w:r>
              <w:rPr>
                <w:rFonts w:hint="eastAsia" w:ascii="宋体" w:hAnsi="宋体" w:cs="宋体"/>
                <w:sz w:val="21"/>
                <w:szCs w:val="21"/>
              </w:rPr>
              <w:t>6、除上述外，因乙方违约造成甲方经济损失的，甲方有权追偿。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vAlign w:val="center"/>
          </w:tcPr>
          <w:p>
            <w:pPr>
              <w:jc w:val="center"/>
              <w:rPr>
                <w:rFonts w:ascii="宋体" w:hAnsi="宋体" w:cs="宋体"/>
                <w:b/>
                <w:sz w:val="24"/>
              </w:rPr>
            </w:pPr>
            <w:r>
              <w:rPr>
                <w:rFonts w:hint="eastAsia" w:ascii="宋体" w:hAnsi="宋体" w:cs="宋体"/>
                <w:b/>
                <w:sz w:val="24"/>
              </w:rPr>
              <w:t>履约保证金</w:t>
            </w:r>
          </w:p>
        </w:tc>
        <w:tc>
          <w:tcPr>
            <w:tcW w:w="7543" w:type="dxa"/>
            <w:vAlign w:val="center"/>
          </w:tcPr>
          <w:p>
            <w:pPr>
              <w:spacing w:line="360" w:lineRule="auto"/>
              <w:jc w:val="left"/>
              <w:rPr>
                <w:rFonts w:ascii="宋体" w:hAnsi="宋体" w:cs="宋体"/>
                <w:sz w:val="21"/>
                <w:szCs w:val="21"/>
              </w:rPr>
            </w:pPr>
            <w:r>
              <w:rPr>
                <w:rFonts w:hint="eastAsia" w:ascii="宋体" w:hAnsi="宋体" w:cs="宋体"/>
                <w:sz w:val="21"/>
                <w:szCs w:val="21"/>
              </w:rPr>
              <w:t>乙方按合同金额的2%支付履约保证金，合同期内无违约情况的，合同期满后无息全额退还。</w:t>
            </w:r>
          </w:p>
        </w:tc>
      </w:tr>
      <w:bookmarkEnd w:id="17"/>
    </w:tbl>
    <w:p>
      <w:pPr>
        <w:widowControl/>
        <w:spacing w:line="280" w:lineRule="exact"/>
        <w:ind w:firstLine="560" w:firstLineChars="200"/>
        <w:jc w:val="left"/>
        <w:rPr>
          <w:rFonts w:ascii="宋体" w:hAnsi="宋体" w:cs="宋体"/>
          <w:sz w:val="28"/>
          <w:szCs w:val="28"/>
        </w:rPr>
        <w:sectPr>
          <w:pgSz w:w="11906" w:h="16838"/>
          <w:pgMar w:top="1440" w:right="1080" w:bottom="1440" w:left="1080" w:header="851" w:footer="992" w:gutter="0"/>
          <w:cols w:space="425" w:num="1"/>
          <w:docGrid w:type="lines" w:linePitch="312" w:charSpace="0"/>
        </w:sectPr>
      </w:pPr>
    </w:p>
    <w:p>
      <w:pPr>
        <w:pStyle w:val="3"/>
        <w:spacing w:line="360" w:lineRule="auto"/>
        <w:ind w:firstLine="2800" w:firstLineChars="700"/>
        <w:jc w:val="left"/>
        <w:rPr>
          <w:b w:val="0"/>
          <w:bCs/>
          <w:sz w:val="40"/>
          <w:szCs w:val="22"/>
        </w:rPr>
      </w:pPr>
      <w:bookmarkStart w:id="4" w:name="_Toc17117"/>
      <w:r>
        <w:rPr>
          <w:rFonts w:hint="eastAsia"/>
          <w:b w:val="0"/>
          <w:bCs/>
          <w:sz w:val="40"/>
          <w:szCs w:val="22"/>
        </w:rPr>
        <w:t>第三章 评审办法</w:t>
      </w:r>
      <w:bookmarkEnd w:id="4"/>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一、评标方法：</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1、本项目采用最低评标价法。</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2、响应文件满足采购文件全部实质性要求，且总报价最低（折扣率最高）的供应商为成交候选人。</w:t>
      </w:r>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二、成交人推荐原则：</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三、说明</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2、对于存在严重不平衡、不合理、有可能低于供应商自身成本的报价价，询价小组有权予以拒绝。</w:t>
      </w:r>
    </w:p>
    <w:p>
      <w:pPr>
        <w:spacing w:before="156" w:beforeLines="50" w:after="156" w:afterLines="50" w:line="360" w:lineRule="auto"/>
        <w:ind w:firstLine="480" w:firstLineChars="200"/>
        <w:rPr>
          <w:rFonts w:ascii="宋体" w:hAnsi="宋体"/>
          <w:b/>
          <w:sz w:val="24"/>
          <w:highlight w:val="yellow"/>
        </w:rPr>
      </w:pPr>
      <w:r>
        <w:rPr>
          <w:rFonts w:hint="eastAsia" w:ascii="宋体" w:hAnsi="宋体" w:cs="Courier New"/>
          <w:bCs/>
          <w:sz w:val="24"/>
        </w:rPr>
        <w:t>3、供应商一旦被发现有虚假响应情况，将被取消报价或成交资格。</w:t>
      </w:r>
      <w:bookmarkStart w:id="5" w:name="_Toc41918597"/>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32"/>
          <w:szCs w:val="32"/>
        </w:rPr>
      </w:pPr>
    </w:p>
    <w:p>
      <w:pPr>
        <w:pStyle w:val="3"/>
        <w:spacing w:line="360" w:lineRule="exact"/>
        <w:ind w:right="960" w:firstLine="2400" w:firstLineChars="600"/>
        <w:jc w:val="left"/>
        <w:rPr>
          <w:b w:val="0"/>
          <w:bCs/>
          <w:sz w:val="40"/>
          <w:szCs w:val="22"/>
        </w:rPr>
      </w:pPr>
      <w:bookmarkStart w:id="6" w:name="_Toc1359"/>
      <w:r>
        <w:rPr>
          <w:rFonts w:hint="eastAsia"/>
          <w:b w:val="0"/>
          <w:bCs/>
          <w:sz w:val="40"/>
          <w:szCs w:val="22"/>
        </w:rPr>
        <w:t>第四章 响应文件格式</w:t>
      </w:r>
      <w:bookmarkEnd w:id="5"/>
      <w:bookmarkEnd w:id="6"/>
    </w:p>
    <w:p>
      <w:pPr>
        <w:spacing w:line="240" w:lineRule="atLeast"/>
        <w:jc w:val="center"/>
        <w:rPr>
          <w:rFonts w:ascii="宋体" w:hAnsi="宋体"/>
          <w:b/>
          <w:sz w:val="32"/>
          <w:szCs w:val="32"/>
        </w:rPr>
      </w:pPr>
    </w:p>
    <w:p>
      <w:pPr>
        <w:spacing w:line="240" w:lineRule="atLeast"/>
        <w:jc w:val="center"/>
        <w:rPr>
          <w:rFonts w:ascii="宋体" w:hAnsi="宋体"/>
          <w:b/>
          <w:sz w:val="44"/>
          <w:szCs w:val="44"/>
        </w:rPr>
      </w:pPr>
    </w:p>
    <w:p>
      <w:pPr>
        <w:spacing w:line="240" w:lineRule="atLeast"/>
        <w:jc w:val="center"/>
        <w:rPr>
          <w:rFonts w:ascii="宋体" w:hAnsi="宋体"/>
          <w:b/>
          <w:sz w:val="44"/>
          <w:szCs w:val="44"/>
        </w:rPr>
      </w:pPr>
    </w:p>
    <w:p>
      <w:pPr>
        <w:spacing w:line="240" w:lineRule="atLeast"/>
        <w:jc w:val="center"/>
        <w:rPr>
          <w:rFonts w:ascii="宋体" w:hAnsi="宋体"/>
          <w:b/>
          <w:sz w:val="32"/>
          <w:szCs w:val="32"/>
        </w:rPr>
      </w:pPr>
      <w:r>
        <w:rPr>
          <w:rFonts w:hint="eastAsia" w:ascii="宋体" w:hAnsi="宋体"/>
          <w:b/>
          <w:sz w:val="44"/>
          <w:szCs w:val="44"/>
        </w:rPr>
        <w:t>响 应 文 件</w:t>
      </w:r>
      <w:r>
        <w:rPr>
          <w:rFonts w:hint="eastAsia" w:ascii="宋体" w:hAnsi="宋体"/>
          <w:b/>
          <w:sz w:val="32"/>
          <w:szCs w:val="32"/>
        </w:rPr>
        <w:t xml:space="preserve"> </w:t>
      </w:r>
      <w:r>
        <w:rPr>
          <w:rFonts w:hint="eastAsia" w:ascii="宋体" w:hAnsi="宋体"/>
          <w:szCs w:val="21"/>
        </w:rPr>
        <w:t>(封面)</w:t>
      </w: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tabs>
          <w:tab w:val="left" w:pos="3240"/>
        </w:tabs>
        <w:spacing w:line="360" w:lineRule="auto"/>
        <w:jc w:val="left"/>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pPr>
        <w:tabs>
          <w:tab w:val="left" w:pos="2625"/>
        </w:tabs>
        <w:spacing w:line="360" w:lineRule="auto"/>
        <w:jc w:val="center"/>
        <w:rPr>
          <w:rFonts w:ascii="宋体" w:hAnsi="宋体"/>
          <w:szCs w:val="21"/>
        </w:rPr>
      </w:pPr>
    </w:p>
    <w:p>
      <w:pPr>
        <w:tabs>
          <w:tab w:val="left" w:pos="2625"/>
        </w:tabs>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 xml:space="preserve">                                       供应商名称（盖章）</w:t>
      </w:r>
    </w:p>
    <w:p>
      <w:pPr>
        <w:spacing w:line="360" w:lineRule="auto"/>
        <w:ind w:firstLine="6111" w:firstLineChars="2910"/>
        <w:rPr>
          <w:rFonts w:ascii="宋体" w:hAnsi="宋体"/>
          <w:szCs w:val="21"/>
        </w:rPr>
      </w:pPr>
      <w:r>
        <w:rPr>
          <w:rFonts w:hint="eastAsia" w:ascii="宋体" w:hAnsi="宋体"/>
          <w:szCs w:val="21"/>
        </w:rPr>
        <w:t>年</w:t>
      </w:r>
      <w:r>
        <w:rPr>
          <w:rFonts w:hint="eastAsia" w:ascii="宋体" w:hAnsi="宋体" w:cs="宋体"/>
          <w:szCs w:val="21"/>
        </w:rPr>
        <w:t xml:space="preserve">    </w:t>
      </w:r>
      <w:r>
        <w:rPr>
          <w:rFonts w:hint="eastAsia" w:ascii="宋体" w:hAnsi="宋体"/>
          <w:szCs w:val="21"/>
        </w:rPr>
        <w:t>月    日</w:t>
      </w:r>
    </w:p>
    <w:p>
      <w:pPr>
        <w:spacing w:line="360" w:lineRule="exact"/>
        <w:rPr>
          <w:rFonts w:ascii="宋体" w:hAnsi="宋体"/>
          <w:b/>
          <w:szCs w:val="21"/>
        </w:rPr>
      </w:pPr>
    </w:p>
    <w:p>
      <w:pPr>
        <w:spacing w:line="360" w:lineRule="exact"/>
        <w:rPr>
          <w:rFonts w:ascii="宋体" w:hAnsi="宋体"/>
          <w:b/>
          <w:szCs w:val="21"/>
        </w:rPr>
      </w:pPr>
    </w:p>
    <w:p>
      <w:pPr>
        <w:spacing w:line="360" w:lineRule="exact"/>
        <w:ind w:right="960"/>
        <w:rPr>
          <w:rFonts w:asciiTheme="majorEastAsia" w:hAnsiTheme="majorEastAsia" w:eastAsiaTheme="majorEastAsia"/>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响应文件资料清单</w:t>
      </w:r>
    </w:p>
    <w:p>
      <w:pPr>
        <w:spacing w:line="360" w:lineRule="auto"/>
        <w:rPr>
          <w:rFonts w:ascii="宋体" w:hAnsi="宋体" w:cs="宋体"/>
          <w:bCs/>
          <w:sz w:val="24"/>
        </w:rPr>
      </w:pPr>
      <w:r>
        <w:rPr>
          <w:rFonts w:hint="eastAsia" w:ascii="宋体" w:hAnsi="宋体" w:cs="宋体"/>
          <w:bCs/>
          <w:sz w:val="24"/>
        </w:rPr>
        <w:t>（以下文件要求必须提供的文件如未提供，评审小组有权拒绝其报价响应文件；以下文件均须每页加盖供应商公章，如未盖章，评审小组有权拒绝其响应文件。）</w:t>
      </w:r>
    </w:p>
    <w:p>
      <w:pPr>
        <w:spacing w:line="360" w:lineRule="auto"/>
        <w:rPr>
          <w:rFonts w:ascii="宋体" w:hAnsi="宋体" w:cs="宋体"/>
          <w:sz w:val="24"/>
        </w:rPr>
      </w:pPr>
      <w:r>
        <w:rPr>
          <w:rFonts w:hint="eastAsia" w:ascii="宋体" w:hAnsi="宋体" w:cs="宋体"/>
          <w:sz w:val="24"/>
        </w:rPr>
        <w:t>第一部分：价格文件</w:t>
      </w:r>
    </w:p>
    <w:p>
      <w:pPr>
        <w:spacing w:line="360" w:lineRule="auto"/>
        <w:rPr>
          <w:rFonts w:ascii="宋体" w:hAnsi="宋体" w:cs="宋体"/>
          <w:b/>
          <w:bCs/>
          <w:sz w:val="24"/>
        </w:rPr>
      </w:pPr>
      <w:r>
        <w:rPr>
          <w:rFonts w:hint="eastAsia" w:ascii="宋体" w:hAnsi="宋体" w:cs="宋体"/>
          <w:b/>
          <w:bCs/>
          <w:sz w:val="24"/>
        </w:rPr>
        <w:t>1.报价表；（附件一）[</w:t>
      </w:r>
      <w:r>
        <w:rPr>
          <w:rFonts w:hint="eastAsia" w:ascii="宋体" w:hAnsi="宋体" w:cs="宋体"/>
          <w:b/>
          <w:bCs/>
          <w:sz w:val="24"/>
          <w:highlight w:val="yellow"/>
        </w:rPr>
        <w:t>必须提供</w:t>
      </w:r>
      <w:r>
        <w:rPr>
          <w:rFonts w:hint="eastAsia" w:ascii="宋体" w:hAnsi="宋体" w:cs="宋体"/>
          <w:b/>
          <w:bCs/>
          <w:sz w:val="24"/>
        </w:rPr>
        <w:t>]</w:t>
      </w:r>
    </w:p>
    <w:p>
      <w:pPr>
        <w:spacing w:line="360" w:lineRule="auto"/>
        <w:rPr>
          <w:rFonts w:ascii="宋体" w:hAnsi="宋体" w:cs="宋体"/>
          <w:sz w:val="24"/>
        </w:rPr>
      </w:pPr>
      <w:r>
        <w:rPr>
          <w:rFonts w:hint="eastAsia" w:ascii="宋体" w:hAnsi="宋体" w:cs="宋体"/>
          <w:sz w:val="24"/>
        </w:rPr>
        <w:t xml:space="preserve"> 第二部分：商务技术文件（以下文件要求必须提供的文件应加盖公章按要求提供，否则竞标无效。）</w:t>
      </w:r>
    </w:p>
    <w:p>
      <w:pPr>
        <w:spacing w:line="360" w:lineRule="auto"/>
        <w:rPr>
          <w:rFonts w:ascii="宋体" w:hAnsi="宋体" w:cs="宋体"/>
          <w:b/>
          <w:bCs/>
          <w:sz w:val="24"/>
        </w:rPr>
      </w:pPr>
      <w:r>
        <w:rPr>
          <w:rFonts w:hint="eastAsia" w:ascii="宋体" w:hAnsi="宋体" w:cs="宋体"/>
          <w:b/>
          <w:bCs/>
          <w:sz w:val="24"/>
        </w:rPr>
        <w:t>2.商务、服务响应、偏离情况说明表；（附件二）[</w:t>
      </w:r>
      <w:r>
        <w:rPr>
          <w:rFonts w:hint="eastAsia" w:ascii="宋体" w:hAnsi="宋体" w:cs="宋体"/>
          <w:b/>
          <w:bCs/>
          <w:sz w:val="24"/>
          <w:highlight w:val="yellow"/>
        </w:rPr>
        <w:t>必须提供</w:t>
      </w:r>
      <w:r>
        <w:rPr>
          <w:rFonts w:hint="eastAsia" w:ascii="宋体" w:hAnsi="宋体" w:cs="宋体"/>
          <w:b/>
          <w:bCs/>
          <w:sz w:val="24"/>
        </w:rPr>
        <w:t>]</w:t>
      </w:r>
    </w:p>
    <w:p>
      <w:pPr>
        <w:spacing w:line="360" w:lineRule="auto"/>
        <w:rPr>
          <w:rFonts w:ascii="宋体" w:hAnsi="宋体" w:cs="宋体"/>
          <w:b/>
          <w:bCs/>
          <w:sz w:val="24"/>
        </w:rPr>
      </w:pPr>
      <w:r>
        <w:rPr>
          <w:rFonts w:hint="eastAsia" w:ascii="宋体" w:hAnsi="宋体" w:cs="宋体"/>
          <w:b/>
          <w:bCs/>
          <w:sz w:val="24"/>
        </w:rPr>
        <w:t>3.法定代表人身份证正、反面复印件；（附件三）[</w:t>
      </w:r>
      <w:r>
        <w:rPr>
          <w:rFonts w:hint="eastAsia" w:ascii="宋体" w:hAnsi="宋体" w:cs="宋体"/>
          <w:b/>
          <w:bCs/>
          <w:sz w:val="24"/>
          <w:highlight w:val="yellow"/>
        </w:rPr>
        <w:t>必须提供</w:t>
      </w:r>
      <w:r>
        <w:rPr>
          <w:rFonts w:hint="eastAsia" w:ascii="宋体" w:hAnsi="宋体" w:cs="宋体"/>
          <w:b/>
          <w:bCs/>
          <w:sz w:val="24"/>
        </w:rPr>
        <w:t>]</w:t>
      </w:r>
    </w:p>
    <w:p>
      <w:pPr>
        <w:spacing w:line="360" w:lineRule="auto"/>
        <w:rPr>
          <w:rFonts w:ascii="宋体" w:hAnsi="宋体" w:cs="宋体"/>
          <w:b/>
          <w:bCs/>
          <w:sz w:val="24"/>
        </w:rPr>
      </w:pPr>
      <w:r>
        <w:rPr>
          <w:rFonts w:hint="eastAsia" w:ascii="宋体" w:hAnsi="宋体" w:cs="宋体"/>
          <w:b/>
          <w:bCs/>
          <w:sz w:val="24"/>
        </w:rPr>
        <w:t>4.法定代表人授权委托书原件和委托代理人身份证正、反面复印件；（附件四） [</w:t>
      </w:r>
      <w:r>
        <w:rPr>
          <w:rFonts w:hint="eastAsia" w:ascii="宋体" w:hAnsi="宋体" w:cs="宋体"/>
          <w:b/>
          <w:bCs/>
          <w:sz w:val="24"/>
          <w:highlight w:val="yellow"/>
        </w:rPr>
        <w:t>委托代理时必须提供</w:t>
      </w:r>
      <w:r>
        <w:rPr>
          <w:rFonts w:hint="eastAsia" w:ascii="宋体" w:hAnsi="宋体" w:cs="宋体"/>
          <w:b/>
          <w:bCs/>
          <w:sz w:val="24"/>
        </w:rPr>
        <w:t xml:space="preserve">]； </w:t>
      </w:r>
    </w:p>
    <w:p>
      <w:pPr>
        <w:spacing w:line="360" w:lineRule="auto"/>
        <w:rPr>
          <w:rFonts w:ascii="宋体" w:hAnsi="宋体" w:cs="宋体"/>
          <w:sz w:val="24"/>
        </w:rPr>
      </w:pPr>
      <w:r>
        <w:rPr>
          <w:rFonts w:hint="eastAsia" w:ascii="宋体" w:hAnsi="宋体" w:cs="宋体"/>
          <w:b/>
          <w:bCs/>
          <w:sz w:val="24"/>
        </w:rPr>
        <w:t>5.有效的主体资格证明文件复印件（附件五）：</w:t>
      </w:r>
    </w:p>
    <w:p>
      <w:pPr>
        <w:spacing w:line="360" w:lineRule="auto"/>
        <w:rPr>
          <w:rFonts w:ascii="宋体" w:hAnsi="宋体" w:cs="宋体"/>
          <w:sz w:val="24"/>
        </w:rPr>
      </w:pPr>
      <w:r>
        <w:rPr>
          <w:rFonts w:hint="eastAsia" w:ascii="宋体" w:hAnsi="宋体" w:cs="宋体"/>
          <w:sz w:val="24"/>
        </w:rPr>
        <w:t>①供应商有效的“主体资格证明文件”复印件（如营业执照、事业单位法人证书、执业许可证、自然人身份证等）；</w:t>
      </w:r>
      <w:r>
        <w:rPr>
          <w:rFonts w:hint="eastAsia" w:ascii="宋体" w:hAnsi="宋体" w:cs="宋体"/>
          <w:b/>
          <w:bCs/>
          <w:sz w:val="24"/>
        </w:rPr>
        <w:t>[</w:t>
      </w:r>
      <w:r>
        <w:rPr>
          <w:rFonts w:hint="eastAsia" w:ascii="宋体" w:hAnsi="宋体" w:cs="宋体"/>
          <w:b/>
          <w:bCs/>
          <w:sz w:val="24"/>
          <w:highlight w:val="yellow"/>
        </w:rPr>
        <w:t>必须提供</w:t>
      </w:r>
      <w:r>
        <w:rPr>
          <w:rFonts w:hint="eastAsia" w:ascii="宋体" w:hAnsi="宋体" w:cs="宋体"/>
          <w:b/>
          <w:bCs/>
          <w:sz w:val="24"/>
        </w:rPr>
        <w:t>]</w:t>
      </w:r>
      <w:r>
        <w:rPr>
          <w:rFonts w:hint="eastAsia" w:ascii="宋体" w:hAnsi="宋体" w:cs="宋体"/>
          <w:sz w:val="24"/>
        </w:rPr>
        <w:t xml:space="preserve"> </w:t>
      </w:r>
    </w:p>
    <w:p>
      <w:pPr>
        <w:spacing w:line="360" w:lineRule="auto"/>
        <w:rPr>
          <w:rFonts w:ascii="宋体" w:hAnsi="宋体" w:cs="宋体"/>
          <w:b/>
          <w:bCs/>
          <w:sz w:val="24"/>
        </w:rPr>
      </w:pPr>
      <w:r>
        <w:rPr>
          <w:rFonts w:hint="eastAsia" w:ascii="宋体" w:hAnsi="宋体" w:cs="宋体"/>
          <w:b/>
          <w:bCs/>
          <w:sz w:val="24"/>
        </w:rPr>
        <w:t>6.供应商信用证明材料：（附件六）</w:t>
      </w:r>
    </w:p>
    <w:p>
      <w:pPr>
        <w:spacing w:line="360" w:lineRule="auto"/>
        <w:rPr>
          <w:rFonts w:ascii="宋体" w:hAnsi="宋体" w:cs="宋体"/>
          <w:sz w:val="24"/>
        </w:rPr>
      </w:pPr>
      <w:r>
        <w:rPr>
          <w:rFonts w:hint="eastAsia" w:ascii="宋体" w:hAnsi="宋体" w:cs="宋体"/>
          <w:sz w:val="24"/>
        </w:rPr>
        <w:t>①参加采购活动前三年内在经营活动中没有重大违法记录和不良信用记录的书面声明；</w:t>
      </w:r>
      <w:r>
        <w:rPr>
          <w:rFonts w:hint="eastAsia" w:ascii="宋体" w:hAnsi="宋体" w:cs="宋体"/>
          <w:b/>
          <w:bCs/>
          <w:sz w:val="24"/>
        </w:rPr>
        <w:t>[</w:t>
      </w:r>
      <w:r>
        <w:rPr>
          <w:rFonts w:hint="eastAsia" w:ascii="宋体" w:hAnsi="宋体" w:cs="宋体"/>
          <w:b/>
          <w:bCs/>
          <w:sz w:val="24"/>
          <w:highlight w:val="yellow"/>
        </w:rPr>
        <w:t>格式自拟，必须提供</w:t>
      </w:r>
      <w:r>
        <w:rPr>
          <w:rFonts w:hint="eastAsia" w:ascii="宋体" w:hAnsi="宋体" w:cs="宋体"/>
          <w:b/>
          <w:bCs/>
          <w:sz w:val="24"/>
        </w:rPr>
        <w:t>]</w:t>
      </w:r>
    </w:p>
    <w:p>
      <w:pPr>
        <w:spacing w:line="360" w:lineRule="auto"/>
        <w:rPr>
          <w:rFonts w:ascii="宋体" w:hAnsi="宋体" w:cs="宋体"/>
          <w:sz w:val="24"/>
        </w:rPr>
      </w:pPr>
      <w:r>
        <w:rPr>
          <w:rFonts w:hint="eastAsia" w:ascii="宋体" w:hAnsi="宋体" w:cs="宋体"/>
          <w:sz w:val="24"/>
        </w:rPr>
        <w:t xml:space="preserve">②在“信用中国”网站(www.creditchina.gov.cn)未被列入失信被执行人、重大税收违法失信主体、企业经营异常名录的查询记录截图复印件加盖公章；[必须提供] </w:t>
      </w:r>
    </w:p>
    <w:p>
      <w:pPr>
        <w:spacing w:line="360" w:lineRule="auto"/>
        <w:rPr>
          <w:rFonts w:ascii="宋体" w:hAnsi="宋体" w:cs="宋体"/>
          <w:sz w:val="24"/>
        </w:rPr>
      </w:pPr>
      <w:r>
        <w:rPr>
          <w:rFonts w:hint="eastAsia" w:ascii="宋体" w:hAnsi="宋体" w:cs="宋体"/>
          <w:sz w:val="24"/>
        </w:rPr>
        <w:t>③在中国政府采购网（http://www.ccgp.gov.cn/）未纳入政府采购严重违法失信行为记录名单查询记录截图复印件加盖公章；</w:t>
      </w:r>
      <w:r>
        <w:rPr>
          <w:rFonts w:hint="eastAsia" w:ascii="宋体" w:hAnsi="宋体" w:cs="宋体"/>
          <w:b/>
          <w:bCs/>
          <w:sz w:val="24"/>
        </w:rPr>
        <w:t>[</w:t>
      </w:r>
      <w:r>
        <w:rPr>
          <w:rFonts w:hint="eastAsia" w:ascii="宋体" w:hAnsi="宋体" w:cs="宋体"/>
          <w:b/>
          <w:bCs/>
          <w:sz w:val="24"/>
          <w:highlight w:val="yellow"/>
        </w:rPr>
        <w:t>必须提供</w:t>
      </w:r>
      <w:r>
        <w:rPr>
          <w:rFonts w:hint="eastAsia" w:ascii="宋体" w:hAnsi="宋体" w:cs="宋体"/>
          <w:b/>
          <w:bCs/>
          <w:sz w:val="24"/>
        </w:rPr>
        <w:t>]</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rPr>
          <w:rFonts w:ascii="宋体" w:hAnsi="宋体" w:cs="宋体"/>
          <w:b/>
          <w:bCs/>
          <w:sz w:val="24"/>
        </w:rPr>
      </w:pPr>
      <w:r>
        <w:rPr>
          <w:rFonts w:hint="eastAsia" w:ascii="宋体" w:hAnsi="宋体" w:cs="宋体"/>
          <w:b/>
          <w:bCs/>
          <w:sz w:val="24"/>
        </w:rPr>
        <w:t>7.其他报价供应商认为需要提供的材料</w:t>
      </w:r>
    </w:p>
    <w:p>
      <w:pPr>
        <w:spacing w:line="360" w:lineRule="auto"/>
        <w:rPr>
          <w:rFonts w:ascii="宋体" w:hAnsi="宋体" w:cs="宋体"/>
          <w:sz w:val="24"/>
          <w:highlight w:val="yellow"/>
        </w:rPr>
      </w:pPr>
      <w:r>
        <w:rPr>
          <w:rFonts w:hint="eastAsia" w:ascii="宋体" w:hAnsi="宋体" w:cs="宋体"/>
          <w:sz w:val="24"/>
          <w:highlight w:val="yellow"/>
        </w:rPr>
        <w:t>注：（未提供格式模板的资料由供应商自拟）</w:t>
      </w: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br w:type="page"/>
      </w:r>
    </w:p>
    <w:p>
      <w:pPr>
        <w:spacing w:line="360" w:lineRule="exact"/>
        <w:ind w:right="960"/>
        <w:rPr>
          <w:rFonts w:asciiTheme="majorEastAsia" w:hAnsiTheme="majorEastAsia" w:eastAsiaTheme="majorEastAsia"/>
          <w:b/>
          <w:sz w:val="28"/>
          <w:szCs w:val="28"/>
        </w:rPr>
      </w:pPr>
      <w:r>
        <w:rPr>
          <w:rFonts w:hint="eastAsia" w:asciiTheme="majorEastAsia" w:hAnsiTheme="majorEastAsia" w:eastAsiaTheme="majorEastAsia"/>
          <w:b/>
          <w:sz w:val="28"/>
          <w:szCs w:val="28"/>
        </w:rPr>
        <w:t>附件一</w:t>
      </w:r>
    </w:p>
    <w:p>
      <w:pPr>
        <w:spacing w:line="360" w:lineRule="exact"/>
        <w:ind w:right="960"/>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报价表</w:t>
      </w:r>
    </w:p>
    <w:p>
      <w:pPr>
        <w:spacing w:line="360" w:lineRule="exact"/>
        <w:ind w:right="960"/>
        <w:rPr>
          <w:rFonts w:asciiTheme="majorEastAsia" w:hAnsiTheme="majorEastAsia" w:eastAsiaTheme="majorEastAsia"/>
          <w:b/>
          <w:sz w:val="32"/>
          <w:szCs w:val="32"/>
        </w:rPr>
      </w:pPr>
    </w:p>
    <w:p>
      <w:pPr>
        <w:spacing w:line="360" w:lineRule="auto"/>
        <w:jc w:val="center"/>
        <w:outlineLvl w:val="0"/>
        <w:rPr>
          <w:rFonts w:asciiTheme="minorEastAsia" w:hAnsiTheme="minorEastAsia" w:eastAsiaTheme="minorEastAsia"/>
          <w:b/>
          <w:sz w:val="28"/>
          <w:szCs w:val="30"/>
        </w:rPr>
      </w:pPr>
      <w:r>
        <w:rPr>
          <w:rFonts w:hint="eastAsia" w:asciiTheme="minorEastAsia" w:hAnsiTheme="minorEastAsia" w:eastAsiaTheme="minorEastAsia"/>
          <w:b/>
          <w:sz w:val="28"/>
          <w:szCs w:val="30"/>
        </w:rPr>
        <w:t xml:space="preserve"> </w:t>
      </w:r>
      <w:bookmarkStart w:id="7" w:name="_Toc10280"/>
      <w:r>
        <w:rPr>
          <w:rFonts w:hint="eastAsia" w:asciiTheme="minorEastAsia" w:hAnsiTheme="minorEastAsia" w:eastAsiaTheme="minorEastAsia"/>
          <w:b/>
          <w:sz w:val="28"/>
          <w:szCs w:val="30"/>
        </w:rPr>
        <w:t>广西工商职业技术学院鹏飞、中尧、武鸣校区学生公寓、公共区域化粪池进行定期集中清理服务采购项目采购报价表</w:t>
      </w:r>
      <w:bookmarkEnd w:id="7"/>
    </w:p>
    <w:tbl>
      <w:tblPr>
        <w:tblStyle w:val="17"/>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2"/>
        <w:gridCol w:w="2337"/>
        <w:gridCol w:w="1793"/>
        <w:gridCol w:w="819"/>
        <w:gridCol w:w="1450"/>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r>
              <w:rPr>
                <w:rFonts w:hint="eastAsia" w:ascii="宋体" w:hAnsi="宋体" w:cs="宋体"/>
                <w:sz w:val="24"/>
              </w:rPr>
              <w:t>供应商</w:t>
            </w:r>
          </w:p>
        </w:tc>
        <w:tc>
          <w:tcPr>
            <w:tcW w:w="494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p>
        </w:tc>
        <w:tc>
          <w:tcPr>
            <w:tcW w:w="14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法人代表</w:t>
            </w:r>
          </w:p>
        </w:tc>
        <w:tc>
          <w:tcPr>
            <w:tcW w:w="20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r>
              <w:rPr>
                <w:rFonts w:hint="eastAsia" w:ascii="宋体" w:hAnsi="宋体" w:cs="宋体"/>
                <w:sz w:val="24"/>
              </w:rPr>
              <w:t>委托代理人</w:t>
            </w:r>
          </w:p>
        </w:tc>
        <w:tc>
          <w:tcPr>
            <w:tcW w:w="2337" w:type="dxa"/>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p>
        </w:tc>
        <w:tc>
          <w:tcPr>
            <w:tcW w:w="1793" w:type="dxa"/>
            <w:tcBorders>
              <w:top w:val="single" w:color="auto" w:sz="4" w:space="0"/>
              <w:left w:val="single" w:color="auto" w:sz="4" w:space="0"/>
              <w:bottom w:val="single" w:color="auto" w:sz="4" w:space="0"/>
              <w:right w:val="single" w:color="auto" w:sz="4" w:space="0"/>
            </w:tcBorders>
            <w:vAlign w:val="center"/>
          </w:tcPr>
          <w:p>
            <w:pPr>
              <w:spacing w:line="360" w:lineRule="exact"/>
              <w:ind w:right="-108"/>
              <w:jc w:val="center"/>
              <w:rPr>
                <w:rFonts w:ascii="宋体" w:hAnsi="宋体" w:cs="宋体"/>
                <w:sz w:val="24"/>
              </w:rPr>
            </w:pPr>
            <w:r>
              <w:rPr>
                <w:rFonts w:hint="eastAsia" w:ascii="宋体" w:hAnsi="宋体" w:cs="宋体"/>
                <w:sz w:val="24"/>
              </w:rPr>
              <w:t>联系方式</w:t>
            </w:r>
          </w:p>
        </w:tc>
        <w:tc>
          <w:tcPr>
            <w:tcW w:w="43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right="96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r>
              <w:rPr>
                <w:rFonts w:hint="eastAsia" w:ascii="宋体" w:hAnsi="宋体" w:cs="宋体"/>
                <w:sz w:val="24"/>
              </w:rPr>
              <w:t>采购上控价</w:t>
            </w:r>
          </w:p>
        </w:tc>
        <w:tc>
          <w:tcPr>
            <w:tcW w:w="84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ind w:right="960"/>
              <w:jc w:val="left"/>
              <w:rPr>
                <w:rFonts w:ascii="宋体" w:hAnsi="宋体" w:cs="宋体"/>
                <w:sz w:val="24"/>
              </w:rPr>
            </w:pPr>
            <w:r>
              <w:rPr>
                <w:rFonts w:hint="eastAsia" w:ascii="宋体" w:hAnsi="宋体" w:cs="宋体"/>
                <w:sz w:val="24"/>
              </w:rPr>
              <w:t>￥98,000.00元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0"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项目需求</w:t>
            </w:r>
          </w:p>
        </w:tc>
        <w:tc>
          <w:tcPr>
            <w:tcW w:w="8483" w:type="dxa"/>
            <w:gridSpan w:val="5"/>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rPr>
            </w:pPr>
            <w:r>
              <w:rPr>
                <w:rFonts w:hint="eastAsia" w:ascii="宋体" w:hAnsi="宋体" w:cs="宋体"/>
                <w:sz w:val="24"/>
              </w:rPr>
              <w:t>广西工商职业技术学院鹏飞、中尧、武鸣校区学生公寓、公共区域化粪池进行定期集中清理服务采购项目。具体参见第二章项目需求。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4" w:hRule="atLeast"/>
        </w:trPr>
        <w:tc>
          <w:tcPr>
            <w:tcW w:w="1582" w:type="dxa"/>
            <w:tcBorders>
              <w:top w:val="single" w:color="auto" w:sz="4" w:space="0"/>
              <w:left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报    价</w:t>
            </w:r>
          </w:p>
        </w:tc>
        <w:tc>
          <w:tcPr>
            <w:tcW w:w="8483" w:type="dxa"/>
            <w:gridSpan w:val="5"/>
            <w:tcBorders>
              <w:top w:val="single" w:color="auto" w:sz="4" w:space="0"/>
              <w:left w:val="single" w:color="auto" w:sz="4" w:space="0"/>
              <w:right w:val="single" w:color="auto" w:sz="4" w:space="0"/>
            </w:tcBorders>
            <w:vAlign w:val="center"/>
          </w:tcPr>
          <w:p>
            <w:pPr>
              <w:spacing w:line="360" w:lineRule="exact"/>
              <w:ind w:right="7"/>
              <w:jc w:val="left"/>
              <w:rPr>
                <w:rFonts w:ascii="宋体" w:hAnsi="宋体" w:cs="宋体"/>
                <w:sz w:val="24"/>
              </w:rPr>
            </w:pPr>
            <w:r>
              <w:rPr>
                <w:rFonts w:hint="eastAsia" w:ascii="宋体" w:hAnsi="宋体" w:cs="宋体"/>
                <w:sz w:val="24"/>
              </w:rPr>
              <w:t>总金额：￥</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w:t>
            </w:r>
          </w:p>
          <w:p>
            <w:pPr>
              <w:pStyle w:val="2"/>
            </w:pPr>
          </w:p>
          <w:p>
            <w:pPr>
              <w:rPr>
                <w:rFonts w:ascii="宋体" w:hAnsi="宋体" w:cs="宋体"/>
                <w:szCs w:val="21"/>
              </w:rPr>
            </w:pPr>
            <w:r>
              <w:rPr>
                <w:rFonts w:hint="eastAsia" w:ascii="宋体" w:hAnsi="宋体" w:cs="宋体"/>
                <w:szCs w:val="21"/>
              </w:rPr>
              <w:t>1、总报价为投标单位按照项目需求清单中列出的各项金额的总和，所有投标价均以人民币报价，投标报价中包含已按招标文件和合同条款中的设计、工程承包范围、质量要求、质量检查验收标准、工期等要求并充分考虑了人工、材料、机械、施工措施、运距大小、施工用水电、包装运输、施工、管理、质量检查、预留、预埋、试验、验收费用、利润、政府相关部门收取的一切费用及所有税费等因素计算了全部费用及风险，保证投标报价准确无误，如有错漏概由投标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trPr>
        <w:tc>
          <w:tcPr>
            <w:tcW w:w="1582"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其他承诺</w:t>
            </w:r>
          </w:p>
        </w:tc>
        <w:tc>
          <w:tcPr>
            <w:tcW w:w="8483" w:type="dxa"/>
            <w:gridSpan w:val="5"/>
            <w:tcBorders>
              <w:top w:val="nil"/>
              <w:left w:val="single" w:color="auto" w:sz="4" w:space="0"/>
              <w:bottom w:val="single" w:color="auto" w:sz="4" w:space="0"/>
              <w:right w:val="single" w:color="auto" w:sz="4" w:space="0"/>
            </w:tcBorders>
            <w:vAlign w:val="center"/>
          </w:tcPr>
          <w:p>
            <w:pPr>
              <w:spacing w:line="360" w:lineRule="exact"/>
              <w:ind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备   注</w:t>
            </w:r>
          </w:p>
        </w:tc>
        <w:tc>
          <w:tcPr>
            <w:tcW w:w="84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4"/>
              </w:rPr>
            </w:pPr>
            <w:r>
              <w:rPr>
                <w:rFonts w:hint="eastAsia" w:ascii="宋体" w:hAnsi="宋体" w:cs="宋体"/>
                <w:sz w:val="24"/>
              </w:rPr>
              <w:t>项目采购预算已在本页“采购上控价”中列明，如竞标报价超过采购上控价的作磋商无效处理。</w:t>
            </w:r>
          </w:p>
        </w:tc>
      </w:tr>
    </w:tbl>
    <w:p>
      <w:pPr>
        <w:spacing w:line="500" w:lineRule="exact"/>
        <w:ind w:right="1518"/>
        <w:jc w:val="right"/>
        <w:rPr>
          <w:rFonts w:ascii="宋体" w:hAnsi="宋体"/>
          <w:sz w:val="28"/>
          <w:szCs w:val="28"/>
        </w:rPr>
      </w:pPr>
      <w:r>
        <w:rPr>
          <w:rFonts w:hint="eastAsia" w:ascii="宋体" w:hAnsi="宋体"/>
          <w:sz w:val="28"/>
          <w:szCs w:val="28"/>
        </w:rPr>
        <w:t>供应商（盖章）：</w:t>
      </w:r>
    </w:p>
    <w:p>
      <w:pPr>
        <w:spacing w:line="500" w:lineRule="exact"/>
        <w:ind w:right="1518"/>
        <w:jc w:val="right"/>
        <w:rPr>
          <w:rFonts w:ascii="宋体" w:hAnsi="宋体"/>
          <w:sz w:val="28"/>
          <w:szCs w:val="28"/>
        </w:rPr>
      </w:pPr>
      <w:r>
        <w:rPr>
          <w:rFonts w:hint="eastAsia" w:ascii="宋体" w:hAnsi="宋体"/>
          <w:sz w:val="28"/>
          <w:szCs w:val="28"/>
        </w:rPr>
        <w:t>委托代理人（签字）：</w:t>
      </w:r>
    </w:p>
    <w:p>
      <w:pPr>
        <w:ind w:right="1540"/>
        <w:jc w:val="right"/>
        <w:rPr>
          <w:rFonts w:ascii="宋体" w:hAnsi="宋体"/>
          <w:kern w:val="0"/>
          <w:sz w:val="28"/>
          <w:szCs w:val="28"/>
        </w:rPr>
      </w:pPr>
      <w:r>
        <w:rPr>
          <w:rFonts w:hint="eastAsia" w:ascii="宋体" w:hAnsi="宋体"/>
          <w:kern w:val="0"/>
          <w:sz w:val="28"/>
          <w:szCs w:val="28"/>
        </w:rPr>
        <w:t>联系方式：</w:t>
      </w:r>
    </w:p>
    <w:p>
      <w:pPr>
        <w:ind w:right="1540"/>
        <w:jc w:val="right"/>
        <w:rPr>
          <w:rFonts w:ascii="宋体" w:hAnsi="宋体"/>
          <w:kern w:val="0"/>
          <w:sz w:val="28"/>
          <w:szCs w:val="28"/>
        </w:rPr>
      </w:pPr>
      <w:r>
        <w:rPr>
          <w:rFonts w:hint="eastAsia" w:ascii="宋体" w:hAnsi="宋体"/>
          <w:kern w:val="0"/>
          <w:sz w:val="28"/>
          <w:szCs w:val="28"/>
        </w:rPr>
        <w:t>时    间 ：</w:t>
      </w:r>
    </w:p>
    <w:p>
      <w:pPr>
        <w:spacing w:line="300" w:lineRule="auto"/>
        <w:jc w:val="left"/>
        <w:rPr>
          <w:rFonts w:hint="eastAsia" w:asciiTheme="majorEastAsia" w:hAnsiTheme="majorEastAsia" w:eastAsiaTheme="majorEastAsia"/>
          <w:b/>
          <w:sz w:val="28"/>
          <w:szCs w:val="28"/>
        </w:rPr>
      </w:pPr>
    </w:p>
    <w:p>
      <w:pPr>
        <w:spacing w:line="300" w:lineRule="auto"/>
        <w:jc w:val="left"/>
        <w:rPr>
          <w:rFonts w:asciiTheme="majorEastAsia" w:hAnsiTheme="majorEastAsia" w:eastAsiaTheme="majorEastAsia"/>
          <w:b/>
          <w:sz w:val="36"/>
          <w:szCs w:val="36"/>
        </w:rPr>
      </w:pPr>
      <w:r>
        <w:rPr>
          <w:rFonts w:hint="eastAsia" w:asciiTheme="majorEastAsia" w:hAnsiTheme="majorEastAsia" w:eastAsiaTheme="majorEastAsia"/>
          <w:b/>
          <w:sz w:val="28"/>
          <w:szCs w:val="28"/>
        </w:rPr>
        <w:t>附件二</w:t>
      </w:r>
    </w:p>
    <w:p>
      <w:pPr>
        <w:spacing w:line="300" w:lineRule="auto"/>
        <w:jc w:val="center"/>
        <w:rPr>
          <w:rFonts w:ascii="宋体" w:hAnsi="宋体"/>
          <w:szCs w:val="21"/>
        </w:rPr>
      </w:pPr>
      <w:r>
        <w:rPr>
          <w:rFonts w:hint="eastAsia" w:ascii="宋体" w:hAnsi="宋体"/>
          <w:b/>
          <w:sz w:val="32"/>
          <w:szCs w:val="32"/>
        </w:rPr>
        <w:t>商务、服务响应、偏离情况说明表</w:t>
      </w:r>
    </w:p>
    <w:p>
      <w:pPr>
        <w:spacing w:line="500" w:lineRule="exact"/>
        <w:rPr>
          <w:rFonts w:ascii="宋体" w:hAnsi="宋体"/>
          <w:szCs w:val="21"/>
          <w:u w:val="single"/>
        </w:rPr>
      </w:pPr>
      <w:r>
        <w:rPr>
          <w:rFonts w:hint="eastAsia" w:ascii="宋体" w:hAnsi="宋体"/>
          <w:szCs w:val="21"/>
        </w:rPr>
        <w:t>采购项目名称:</w:t>
      </w:r>
    </w:p>
    <w:p>
      <w:pPr>
        <w:spacing w:line="500" w:lineRule="exact"/>
        <w:rPr>
          <w:rFonts w:ascii="宋体" w:hAnsi="宋体"/>
          <w:szCs w:val="21"/>
          <w:u w:val="single"/>
        </w:rPr>
      </w:pPr>
      <w:r>
        <w:rPr>
          <w:rFonts w:hint="eastAsia" w:ascii="宋体" w:hAnsi="宋体"/>
          <w:szCs w:val="21"/>
        </w:rPr>
        <w:t>采购项目编号:</w:t>
      </w:r>
    </w:p>
    <w:tbl>
      <w:tblPr>
        <w:tblStyle w:val="17"/>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pPr>
              <w:jc w:val="center"/>
            </w:pPr>
            <w:r>
              <w:rPr>
                <w:rFonts w:hint="eastAsia"/>
              </w:rPr>
              <w:t>序号</w:t>
            </w:r>
          </w:p>
        </w:tc>
        <w:tc>
          <w:tcPr>
            <w:tcW w:w="3013" w:type="dxa"/>
            <w:vAlign w:val="center"/>
          </w:tcPr>
          <w:p>
            <w:pPr>
              <w:jc w:val="center"/>
            </w:pPr>
            <w:r>
              <w:rPr>
                <w:rFonts w:hint="eastAsia"/>
              </w:rPr>
              <w:t>询价文件要求</w:t>
            </w:r>
          </w:p>
        </w:tc>
        <w:tc>
          <w:tcPr>
            <w:tcW w:w="3159" w:type="dxa"/>
            <w:vAlign w:val="center"/>
          </w:tcPr>
          <w:p>
            <w:pPr>
              <w:jc w:val="center"/>
            </w:pPr>
            <w:r>
              <w:rPr>
                <w:rFonts w:hint="eastAsia"/>
              </w:rPr>
              <w:t>响应文件具体响应</w:t>
            </w:r>
          </w:p>
        </w:tc>
        <w:tc>
          <w:tcPr>
            <w:tcW w:w="1571" w:type="dxa"/>
            <w:vAlign w:val="center"/>
          </w:tcPr>
          <w:p>
            <w:pPr>
              <w:jc w:val="center"/>
            </w:pPr>
            <w:r>
              <w:rPr>
                <w:rFonts w:hint="eastAsia"/>
              </w:rPr>
              <w:t>响应/偏离</w:t>
            </w:r>
          </w:p>
        </w:tc>
        <w:tc>
          <w:tcPr>
            <w:tcW w:w="1460"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pPr>
            <w:r>
              <w:rPr>
                <w:rFonts w:hint="eastAsia"/>
              </w:rPr>
              <w:t>技术/服务部分（采购清单及技术参数）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651" w:type="dxa"/>
            <w:vAlign w:val="center"/>
          </w:tcPr>
          <w:p>
            <w:pPr>
              <w:jc w:val="center"/>
            </w:pPr>
            <w:r>
              <w:rPr>
                <w:rFonts w:hint="eastAsia"/>
              </w:rPr>
              <w:t>1</w:t>
            </w:r>
          </w:p>
        </w:tc>
        <w:tc>
          <w:tcPr>
            <w:tcW w:w="3013" w:type="dxa"/>
            <w:vAlign w:val="center"/>
          </w:tcPr>
          <w:p>
            <w:pPr>
              <w:jc w:val="center"/>
              <w:rPr>
                <w:rFonts w:ascii="宋体" w:hAnsi="宋体"/>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2</w:t>
            </w:r>
          </w:p>
        </w:tc>
        <w:tc>
          <w:tcPr>
            <w:tcW w:w="3013" w:type="dxa"/>
            <w:vAlign w:val="center"/>
          </w:tcPr>
          <w:p>
            <w:pPr>
              <w:tabs>
                <w:tab w:val="left" w:pos="180"/>
                <w:tab w:val="left" w:pos="1620"/>
              </w:tabs>
              <w:spacing w:line="400" w:lineRule="exact"/>
              <w:jc w:val="center"/>
              <w:rPr>
                <w:rFonts w:ascii="宋体" w:hAnsi="宋体"/>
                <w:szCs w:val="21"/>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3</w:t>
            </w:r>
          </w:p>
        </w:tc>
        <w:tc>
          <w:tcPr>
            <w:tcW w:w="3013" w:type="dxa"/>
            <w:vAlign w:val="center"/>
          </w:tcPr>
          <w:p>
            <w:pPr>
              <w:spacing w:line="400" w:lineRule="exact"/>
              <w:jc w:val="center"/>
              <w:rPr>
                <w:rFonts w:ascii="宋体" w:hAnsi="宋体"/>
                <w:szCs w:val="21"/>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4</w:t>
            </w:r>
          </w:p>
        </w:tc>
        <w:tc>
          <w:tcPr>
            <w:tcW w:w="3013" w:type="dxa"/>
            <w:vAlign w:val="center"/>
          </w:tcPr>
          <w:p>
            <w:pPr>
              <w:spacing w:line="400" w:lineRule="exact"/>
              <w:jc w:val="center"/>
              <w:rPr>
                <w:rFonts w:ascii="宋体" w:hAnsi="宋体"/>
                <w:szCs w:val="21"/>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5</w:t>
            </w:r>
          </w:p>
        </w:tc>
        <w:tc>
          <w:tcPr>
            <w:tcW w:w="3013" w:type="dxa"/>
            <w:vAlign w:val="center"/>
          </w:tcPr>
          <w:p>
            <w:pPr>
              <w:jc w:val="center"/>
              <w:rPr>
                <w:rFonts w:ascii="宋体" w:hAnsi="宋体"/>
                <w:szCs w:val="21"/>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6</w:t>
            </w:r>
          </w:p>
        </w:tc>
        <w:tc>
          <w:tcPr>
            <w:tcW w:w="3013" w:type="dxa"/>
            <w:vAlign w:val="center"/>
          </w:tcPr>
          <w:p>
            <w:pPr>
              <w:jc w:val="center"/>
              <w:rPr>
                <w:rFonts w:ascii="宋体" w:hAnsi="宋体"/>
                <w:szCs w:val="21"/>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w:t>
            </w:r>
          </w:p>
        </w:tc>
        <w:tc>
          <w:tcPr>
            <w:tcW w:w="3013" w:type="dxa"/>
            <w:vAlign w:val="center"/>
          </w:tcPr>
          <w:p>
            <w:pPr>
              <w:jc w:val="cente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pPr>
            <w:bookmarkStart w:id="8" w:name="_Toc476258666"/>
            <w:bookmarkStart w:id="9" w:name="_Toc476258667"/>
            <w:r>
              <w:rPr>
                <w:rFonts w:hint="eastAsia"/>
              </w:rPr>
              <w:t>商务部分</w:t>
            </w:r>
            <w:bookmarkEnd w:id="8"/>
            <w:r>
              <w:rPr>
                <w:rFonts w:hint="eastAsia"/>
              </w:rPr>
              <w:t>（商务要求）</w:t>
            </w:r>
            <w:bookmarkEnd w:id="9"/>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bookmarkStart w:id="10" w:name="_Toc476258668"/>
            <w:r>
              <w:rPr>
                <w:rFonts w:hint="eastAsia"/>
              </w:rPr>
              <w:t>1</w:t>
            </w:r>
            <w:bookmarkEnd w:id="10"/>
          </w:p>
        </w:tc>
        <w:tc>
          <w:tcPr>
            <w:tcW w:w="3013" w:type="dxa"/>
            <w:vAlign w:val="center"/>
          </w:tcPr>
          <w:p>
            <w:pPr>
              <w:tabs>
                <w:tab w:val="left" w:pos="180"/>
                <w:tab w:val="left" w:pos="1620"/>
              </w:tabs>
              <w:spacing w:line="400" w:lineRule="exact"/>
              <w:jc w:val="center"/>
              <w:rPr>
                <w:rFonts w:ascii="宋体" w:hAnsi="宋体"/>
                <w:szCs w:val="21"/>
              </w:rPr>
            </w:pPr>
          </w:p>
        </w:tc>
        <w:tc>
          <w:tcPr>
            <w:tcW w:w="3159" w:type="dxa"/>
            <w:vAlign w:val="center"/>
          </w:tcPr>
          <w:p/>
        </w:tc>
        <w:tc>
          <w:tcPr>
            <w:tcW w:w="1571" w:type="dxa"/>
            <w:vAlign w:val="center"/>
          </w:tcPr>
          <w:p/>
        </w:tc>
        <w:tc>
          <w:tcPr>
            <w:tcW w:w="1460"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bookmarkStart w:id="11" w:name="_Toc476258669"/>
            <w:r>
              <w:rPr>
                <w:rFonts w:hint="eastAsia"/>
              </w:rPr>
              <w:t>2</w:t>
            </w:r>
            <w:bookmarkEnd w:id="11"/>
          </w:p>
        </w:tc>
        <w:tc>
          <w:tcPr>
            <w:tcW w:w="3013" w:type="dxa"/>
            <w:vAlign w:val="center"/>
          </w:tcPr>
          <w:p>
            <w:pPr>
              <w:spacing w:line="400" w:lineRule="exact"/>
              <w:jc w:val="center"/>
              <w:rPr>
                <w:rFonts w:ascii="宋体" w:hAnsi="宋体"/>
                <w:szCs w:val="21"/>
              </w:rPr>
            </w:pPr>
          </w:p>
        </w:tc>
        <w:tc>
          <w:tcPr>
            <w:tcW w:w="3159" w:type="dxa"/>
            <w:vAlign w:val="center"/>
          </w:tcPr>
          <w:p/>
        </w:tc>
        <w:tc>
          <w:tcPr>
            <w:tcW w:w="1571" w:type="dxa"/>
            <w:vAlign w:val="center"/>
          </w:tcPr>
          <w:p/>
        </w:tc>
        <w:tc>
          <w:tcPr>
            <w:tcW w:w="1460"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bookmarkStart w:id="12" w:name="_Toc476258670"/>
            <w:r>
              <w:rPr>
                <w:rFonts w:hint="eastAsia"/>
              </w:rPr>
              <w:t>3</w:t>
            </w:r>
            <w:bookmarkEnd w:id="12"/>
          </w:p>
        </w:tc>
        <w:tc>
          <w:tcPr>
            <w:tcW w:w="3013" w:type="dxa"/>
            <w:vAlign w:val="center"/>
          </w:tcPr>
          <w:p>
            <w:pPr>
              <w:spacing w:line="400" w:lineRule="exact"/>
              <w:jc w:val="center"/>
              <w:rPr>
                <w:rFonts w:ascii="宋体" w:hAnsi="宋体"/>
                <w:szCs w:val="21"/>
              </w:rPr>
            </w:pPr>
          </w:p>
        </w:tc>
        <w:tc>
          <w:tcPr>
            <w:tcW w:w="3159" w:type="dxa"/>
            <w:vAlign w:val="center"/>
          </w:tcPr>
          <w:p/>
        </w:tc>
        <w:tc>
          <w:tcPr>
            <w:tcW w:w="1571" w:type="dxa"/>
            <w:vAlign w:val="center"/>
          </w:tcPr>
          <w:p/>
        </w:tc>
        <w:tc>
          <w:tcPr>
            <w:tcW w:w="1460"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pPr>
            <w:r>
              <w:rPr>
                <w:rFonts w:hint="eastAsia"/>
              </w:rPr>
              <w:t>4</w:t>
            </w:r>
          </w:p>
        </w:tc>
        <w:tc>
          <w:tcPr>
            <w:tcW w:w="3013" w:type="dxa"/>
            <w:vAlign w:val="center"/>
          </w:tcPr>
          <w:p>
            <w:pPr>
              <w:jc w:val="center"/>
              <w:rPr>
                <w:rFonts w:ascii="宋体" w:hAnsi="宋体"/>
                <w:szCs w:val="21"/>
              </w:rPr>
            </w:pPr>
          </w:p>
        </w:tc>
        <w:tc>
          <w:tcPr>
            <w:tcW w:w="3159" w:type="dxa"/>
            <w:vAlign w:val="center"/>
          </w:tcPr>
          <w:p/>
        </w:tc>
        <w:tc>
          <w:tcPr>
            <w:tcW w:w="1571" w:type="dxa"/>
            <w:tcBorders>
              <w:right w:val="single" w:color="auto" w:sz="4" w:space="0"/>
            </w:tcBorders>
            <w:vAlign w:val="center"/>
          </w:tcPr>
          <w:p/>
        </w:tc>
        <w:tc>
          <w:tcPr>
            <w:tcW w:w="1460" w:type="dxa"/>
            <w:tcBorders>
              <w:lef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pPr>
            <w:r>
              <w:rPr>
                <w:rFonts w:hint="eastAsia"/>
              </w:rPr>
              <w:t>5</w:t>
            </w:r>
          </w:p>
        </w:tc>
        <w:tc>
          <w:tcPr>
            <w:tcW w:w="3013" w:type="dxa"/>
            <w:vAlign w:val="center"/>
          </w:tcPr>
          <w:p>
            <w:pPr>
              <w:jc w:val="center"/>
              <w:rPr>
                <w:rFonts w:ascii="宋体" w:hAnsi="宋体"/>
                <w:szCs w:val="21"/>
              </w:rPr>
            </w:pPr>
          </w:p>
        </w:tc>
        <w:tc>
          <w:tcPr>
            <w:tcW w:w="3159" w:type="dxa"/>
            <w:vAlign w:val="center"/>
          </w:tcPr>
          <w:p/>
        </w:tc>
        <w:tc>
          <w:tcPr>
            <w:tcW w:w="1571" w:type="dxa"/>
            <w:tcBorders>
              <w:right w:val="single" w:color="auto" w:sz="4" w:space="0"/>
            </w:tcBorders>
            <w:vAlign w:val="center"/>
          </w:tcPr>
          <w:p/>
        </w:tc>
        <w:tc>
          <w:tcPr>
            <w:tcW w:w="1460" w:type="dxa"/>
            <w:tcBorders>
              <w:lef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pPr>
            <w:bookmarkStart w:id="13" w:name="_Toc476258671"/>
            <w:r>
              <w:rPr>
                <w:rFonts w:hint="eastAsia"/>
              </w:rPr>
              <w:t>…</w:t>
            </w:r>
            <w:bookmarkEnd w:id="13"/>
          </w:p>
        </w:tc>
        <w:tc>
          <w:tcPr>
            <w:tcW w:w="3013" w:type="dxa"/>
            <w:vAlign w:val="center"/>
          </w:tcPr>
          <w:p/>
        </w:tc>
        <w:tc>
          <w:tcPr>
            <w:tcW w:w="3159" w:type="dxa"/>
            <w:vAlign w:val="center"/>
          </w:tcPr>
          <w:p/>
        </w:tc>
        <w:tc>
          <w:tcPr>
            <w:tcW w:w="1571" w:type="dxa"/>
            <w:tcBorders>
              <w:right w:val="single" w:color="auto" w:sz="4" w:space="0"/>
            </w:tcBorders>
            <w:vAlign w:val="center"/>
          </w:tcPr>
          <w:p/>
        </w:tc>
        <w:tc>
          <w:tcPr>
            <w:tcW w:w="1460" w:type="dxa"/>
            <w:tcBorders>
              <w:lef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pPr>
          </w:p>
        </w:tc>
        <w:tc>
          <w:tcPr>
            <w:tcW w:w="3013" w:type="dxa"/>
            <w:vAlign w:val="center"/>
          </w:tcPr>
          <w:p/>
        </w:tc>
        <w:tc>
          <w:tcPr>
            <w:tcW w:w="3159" w:type="dxa"/>
            <w:vAlign w:val="center"/>
          </w:tcPr>
          <w:p/>
        </w:tc>
        <w:tc>
          <w:tcPr>
            <w:tcW w:w="1571" w:type="dxa"/>
            <w:tcBorders>
              <w:right w:val="single" w:color="auto" w:sz="4" w:space="0"/>
            </w:tcBorders>
            <w:vAlign w:val="center"/>
          </w:tcPr>
          <w:p/>
        </w:tc>
        <w:tc>
          <w:tcPr>
            <w:tcW w:w="1460" w:type="dxa"/>
            <w:tcBorders>
              <w:left w:val="single" w:color="auto" w:sz="4" w:space="0"/>
            </w:tcBorders>
            <w:vAlign w:val="center"/>
          </w:tcPr>
          <w:p/>
        </w:tc>
      </w:tr>
    </w:tbl>
    <w:p>
      <w:pPr>
        <w:adjustRightInd w:val="0"/>
        <w:snapToGrid w:val="0"/>
        <w:spacing w:line="360" w:lineRule="exact"/>
        <w:rPr>
          <w:rFonts w:ascii="宋体" w:hAnsi="宋体"/>
          <w:b/>
          <w:szCs w:val="21"/>
        </w:rPr>
      </w:pPr>
      <w:r>
        <w:rPr>
          <w:rFonts w:hint="eastAsia" w:ascii="宋体" w:hAnsi="宋体"/>
          <w:b/>
          <w:szCs w:val="21"/>
        </w:rPr>
        <w:t>说明：</w:t>
      </w:r>
      <w:r>
        <w:rPr>
          <w:rFonts w:hint="eastAsia" w:hAnsi="宋体"/>
          <w:b/>
        </w:rPr>
        <w:t>1、应写明询价</w:t>
      </w:r>
      <w:r>
        <w:rPr>
          <w:rFonts w:hint="eastAsia" w:ascii="宋体" w:hAnsi="宋体"/>
          <w:b/>
          <w:szCs w:val="21"/>
        </w:rPr>
        <w:t>响应文件对</w:t>
      </w:r>
      <w:r>
        <w:rPr>
          <w:rFonts w:hint="eastAsia"/>
          <w:b/>
        </w:rPr>
        <w:t>商务</w:t>
      </w:r>
      <w:r>
        <w:rPr>
          <w:rFonts w:hint="eastAsia" w:hAnsi="宋体"/>
          <w:b/>
        </w:rPr>
        <w:t>与服务要求的</w:t>
      </w:r>
      <w:r>
        <w:rPr>
          <w:rFonts w:hint="eastAsia" w:ascii="宋体" w:hAnsi="宋体"/>
          <w:b/>
          <w:szCs w:val="21"/>
        </w:rPr>
        <w:t>响应和偏离情况</w:t>
      </w:r>
      <w:r>
        <w:rPr>
          <w:rFonts w:hint="eastAsia"/>
          <w:b/>
          <w:bCs/>
          <w:szCs w:val="21"/>
        </w:rPr>
        <w:t>；</w:t>
      </w:r>
    </w:p>
    <w:p>
      <w:pPr>
        <w:pStyle w:val="11"/>
        <w:spacing w:line="400" w:lineRule="exact"/>
        <w:rPr>
          <w:rFonts w:hAnsi="宋体"/>
          <w:b/>
        </w:rPr>
      </w:pPr>
      <w:r>
        <w:rPr>
          <w:rFonts w:hint="eastAsia" w:hAnsi="宋体"/>
          <w:b/>
        </w:rPr>
        <w:t>2、应对照询价通知书“第二章 采购需求”中采购项目技术规格、参数及要求，</w:t>
      </w:r>
      <w:r>
        <w:rPr>
          <w:rFonts w:hint="eastAsia" w:hAnsi="宋体"/>
          <w:b/>
          <w:highlight w:val="yellow"/>
        </w:rPr>
        <w:t>逐条</w:t>
      </w:r>
      <w:r>
        <w:rPr>
          <w:rFonts w:hint="eastAsia" w:hAnsi="宋体"/>
          <w:b/>
        </w:rPr>
        <w:t>说明所提供货物和服务已对询价通知书的商务、服务做出了实质性的响应，并申明商务、技术条文的响应和偏离情况。如果仅注明“符合”、“满足”或简单复制询价通知书的要求，将导致响应文件被拒绝。特别对有具体商务、服务参数要求的，供应商必须提供对应的详细应答。</w:t>
      </w:r>
    </w:p>
    <w:p>
      <w:pPr>
        <w:pStyle w:val="11"/>
        <w:spacing w:line="360" w:lineRule="exact"/>
        <w:rPr>
          <w:rFonts w:hAnsi="宋体"/>
        </w:rPr>
      </w:pPr>
    </w:p>
    <w:p>
      <w:pPr>
        <w:pStyle w:val="11"/>
        <w:spacing w:line="500" w:lineRule="exact"/>
        <w:ind w:firstLine="4200" w:firstLineChars="2000"/>
        <w:rPr>
          <w:rFonts w:hAnsi="宋体"/>
          <w:u w:val="single"/>
        </w:rPr>
      </w:pPr>
      <w:r>
        <w:rPr>
          <w:rFonts w:hint="eastAsia" w:hAnsi="宋体"/>
        </w:rPr>
        <w:t>法定代表人或委托代理人（签字或盖章）:</w:t>
      </w:r>
      <w:r>
        <w:rPr>
          <w:rFonts w:hint="eastAsia" w:hAnsi="宋体"/>
          <w:u w:val="single"/>
        </w:rPr>
        <w:t xml:space="preserve">            </w:t>
      </w:r>
    </w:p>
    <w:p>
      <w:pPr>
        <w:spacing w:line="500" w:lineRule="exact"/>
        <w:ind w:firstLine="4200" w:firstLineChars="2000"/>
        <w:rPr>
          <w:rFonts w:ascii="宋体" w:hAnsi="宋体" w:cs="Courier New"/>
          <w:szCs w:val="21"/>
          <w:u w:val="single"/>
        </w:rPr>
      </w:pPr>
      <w:r>
        <w:rPr>
          <w:rFonts w:hint="eastAsia" w:ascii="宋体" w:hAnsi="宋体" w:cs="Courier New"/>
          <w:szCs w:val="21"/>
        </w:rPr>
        <w:t>供应商名称（盖章）：</w:t>
      </w:r>
      <w:r>
        <w:rPr>
          <w:rFonts w:hint="eastAsia" w:ascii="宋体" w:hAnsi="宋体" w:cs="Courier New"/>
          <w:szCs w:val="21"/>
          <w:u w:val="single"/>
        </w:rPr>
        <w:t xml:space="preserve">                     </w:t>
      </w:r>
    </w:p>
    <w:p>
      <w:pPr>
        <w:spacing w:line="480" w:lineRule="exact"/>
        <w:ind w:firstLine="4620" w:firstLineChars="2200"/>
        <w:rPr>
          <w:rFonts w:asciiTheme="majorEastAsia" w:hAnsiTheme="majorEastAsia" w:eastAsiaTheme="majorEastAsia"/>
          <w:bCs/>
          <w:szCs w:val="21"/>
        </w:rPr>
      </w:pPr>
      <w:r>
        <w:rPr>
          <w:rFonts w:hint="eastAsia" w:asciiTheme="majorEastAsia" w:hAnsiTheme="majorEastAsia" w:eastAsiaTheme="majorEastAsia"/>
          <w:bCs/>
          <w:szCs w:val="21"/>
        </w:rPr>
        <w:t xml:space="preserve">日期：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 xml:space="preserve">年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 xml:space="preserve">月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 xml:space="preserve">日 </w:t>
      </w:r>
    </w:p>
    <w:p>
      <w:pPr>
        <w:spacing w:line="520" w:lineRule="exact"/>
        <w:jc w:val="left"/>
        <w:rPr>
          <w:rFonts w:ascii="宋体" w:hAnsi="宋体"/>
          <w:b/>
          <w:sz w:val="28"/>
          <w:szCs w:val="28"/>
        </w:rPr>
      </w:pPr>
      <w:r>
        <w:rPr>
          <w:rFonts w:hint="eastAsia" w:asciiTheme="majorEastAsia" w:hAnsiTheme="majorEastAsia" w:eastAsiaTheme="majorEastAsia"/>
          <w:b/>
          <w:sz w:val="24"/>
        </w:rPr>
        <w:t xml:space="preserve">      </w:t>
      </w:r>
      <w:r>
        <w:rPr>
          <w:rFonts w:hint="eastAsia" w:ascii="宋体" w:hAnsi="宋体"/>
          <w:b/>
          <w:sz w:val="28"/>
          <w:szCs w:val="28"/>
        </w:rPr>
        <w:t>附件三</w:t>
      </w:r>
    </w:p>
    <w:p>
      <w:pPr>
        <w:spacing w:line="300" w:lineRule="auto"/>
        <w:rPr>
          <w:rFonts w:ascii="宋体" w:hAnsi="宋体"/>
          <w:b/>
          <w:szCs w:val="21"/>
        </w:rPr>
      </w:pPr>
    </w:p>
    <w:p>
      <w:pPr>
        <w:pStyle w:val="11"/>
        <w:spacing w:line="440" w:lineRule="exact"/>
        <w:jc w:val="center"/>
        <w:rPr>
          <w:rFonts w:hint="eastAsia" w:ascii="宋体" w:hAnsi="宋体" w:eastAsia="宋体" w:cs="Times New Roman"/>
          <w:b/>
          <w:bCs w:val="0"/>
          <w:sz w:val="32"/>
          <w:szCs w:val="32"/>
        </w:rPr>
      </w:pPr>
      <w:r>
        <w:rPr>
          <w:rFonts w:hint="eastAsia" w:ascii="宋体" w:hAnsi="宋体" w:eastAsia="宋体" w:cs="Times New Roman"/>
          <w:b/>
          <w:bCs w:val="0"/>
          <w:sz w:val="32"/>
          <w:szCs w:val="32"/>
        </w:rPr>
        <w:t>法定代表人身份证明书（格式）</w:t>
      </w:r>
    </w:p>
    <w:p>
      <w:pPr>
        <w:pStyle w:val="11"/>
        <w:spacing w:line="460" w:lineRule="exact"/>
        <w:ind w:firstLine="542" w:firstLineChars="257"/>
        <w:jc w:val="center"/>
        <w:rPr>
          <w:b/>
        </w:rPr>
      </w:pPr>
    </w:p>
    <w:p>
      <w:pPr>
        <w:spacing w:line="500" w:lineRule="exact"/>
        <w:rPr>
          <w:rFonts w:ascii="仿宋" w:hAnsi="仿宋" w:eastAsia="仿宋" w:cs="仿宋"/>
          <w:szCs w:val="21"/>
        </w:rPr>
      </w:pPr>
      <w:r>
        <w:rPr>
          <w:rFonts w:hint="eastAsia" w:ascii="仿宋" w:hAnsi="仿宋" w:eastAsia="仿宋" w:cs="仿宋"/>
          <w:szCs w:val="21"/>
        </w:rPr>
        <w:t>竞 标 人：</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单位性质：</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地    址：</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成立时间：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spacing w:line="500" w:lineRule="exact"/>
        <w:rPr>
          <w:rFonts w:ascii="仿宋" w:hAnsi="仿宋" w:eastAsia="仿宋" w:cs="仿宋"/>
          <w:szCs w:val="21"/>
        </w:rPr>
      </w:pPr>
      <w:r>
        <w:rPr>
          <w:rFonts w:hint="eastAsia" w:ascii="仿宋" w:hAnsi="仿宋" w:eastAsia="仿宋" w:cs="仿宋"/>
          <w:szCs w:val="21"/>
        </w:rPr>
        <w:t>经营期限：</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姓    名：</w:t>
      </w:r>
      <w:r>
        <w:rPr>
          <w:rFonts w:hint="eastAsia" w:ascii="仿宋" w:hAnsi="仿宋" w:eastAsia="仿宋" w:cs="仿宋"/>
          <w:szCs w:val="21"/>
          <w:u w:val="single"/>
        </w:rPr>
        <w:t xml:space="preserve">                          </w:t>
      </w:r>
      <w:r>
        <w:rPr>
          <w:rFonts w:hint="eastAsia" w:ascii="仿宋" w:hAnsi="仿宋" w:eastAsia="仿宋" w:cs="仿宋"/>
          <w:szCs w:val="21"/>
        </w:rPr>
        <w:t>性      别：</w:t>
      </w:r>
      <w:r>
        <w:rPr>
          <w:rFonts w:hint="eastAsia" w:ascii="仿宋" w:hAnsi="仿宋" w:eastAsia="仿宋" w:cs="仿宋"/>
          <w:szCs w:val="21"/>
          <w:u w:val="single"/>
        </w:rPr>
        <w:t xml:space="preserve">                </w:t>
      </w:r>
    </w:p>
    <w:p>
      <w:pPr>
        <w:spacing w:line="500" w:lineRule="exact"/>
        <w:rPr>
          <w:rFonts w:ascii="仿宋" w:hAnsi="仿宋" w:eastAsia="仿宋" w:cs="仿宋"/>
          <w:szCs w:val="21"/>
          <w:u w:val="single"/>
        </w:rPr>
      </w:pPr>
      <w:r>
        <w:rPr>
          <w:rFonts w:hint="eastAsia" w:ascii="仿宋" w:hAnsi="仿宋" w:eastAsia="仿宋" w:cs="仿宋"/>
          <w:szCs w:val="21"/>
        </w:rPr>
        <w:t>年    龄：</w:t>
      </w:r>
      <w:r>
        <w:rPr>
          <w:rFonts w:hint="eastAsia" w:ascii="仿宋" w:hAnsi="仿宋" w:eastAsia="仿宋" w:cs="仿宋"/>
          <w:szCs w:val="21"/>
          <w:u w:val="single"/>
        </w:rPr>
        <w:t xml:space="preserve">                          </w:t>
      </w:r>
      <w:r>
        <w:rPr>
          <w:rFonts w:hint="eastAsia" w:ascii="仿宋" w:hAnsi="仿宋" w:eastAsia="仿宋" w:cs="仿宋"/>
          <w:szCs w:val="21"/>
        </w:rPr>
        <w:t>职      务：</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身份证号码：</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系</w:t>
      </w:r>
      <w:r>
        <w:rPr>
          <w:rFonts w:hint="eastAsia" w:ascii="仿宋" w:hAnsi="仿宋" w:eastAsia="仿宋" w:cs="仿宋"/>
          <w:szCs w:val="21"/>
          <w:u w:val="single"/>
        </w:rPr>
        <w:t xml:space="preserve">                                                 </w:t>
      </w:r>
      <w:r>
        <w:rPr>
          <w:rFonts w:hint="eastAsia" w:ascii="仿宋" w:hAnsi="仿宋" w:eastAsia="仿宋" w:cs="仿宋"/>
          <w:szCs w:val="21"/>
        </w:rPr>
        <w:t>（供应商名称）的法定代表人。</w:t>
      </w:r>
    </w:p>
    <w:p>
      <w:pPr>
        <w:pStyle w:val="11"/>
        <w:spacing w:line="460" w:lineRule="exact"/>
        <w:ind w:firstLine="539" w:firstLineChars="257"/>
        <w:rPr>
          <w:rFonts w:ascii="仿宋" w:hAnsi="仿宋" w:eastAsia="仿宋" w:cs="仿宋"/>
        </w:rPr>
      </w:pPr>
      <w:r>
        <w:rPr>
          <w:rFonts w:hint="eastAsia" w:ascii="仿宋" w:hAnsi="仿宋" w:eastAsia="仿宋" w:cs="仿宋"/>
        </w:rPr>
        <w:t>特此证明。</w:t>
      </w:r>
    </w:p>
    <w:p>
      <w:pPr>
        <w:pStyle w:val="11"/>
        <w:spacing w:line="460" w:lineRule="exact"/>
        <w:ind w:firstLine="539" w:firstLineChars="257"/>
        <w:rPr>
          <w:rFonts w:ascii="仿宋" w:hAnsi="仿宋" w:eastAsia="仿宋" w:cs="仿宋"/>
        </w:rPr>
      </w:pPr>
    </w:p>
    <w:p>
      <w:pPr>
        <w:pStyle w:val="11"/>
        <w:spacing w:line="460" w:lineRule="exact"/>
        <w:ind w:firstLine="539" w:firstLineChars="257"/>
        <w:rPr>
          <w:rFonts w:ascii="仿宋" w:hAnsi="仿宋" w:eastAsia="仿宋" w:cs="仿宋"/>
        </w:rPr>
      </w:pPr>
      <w:r>
        <w:rPr>
          <w:rFonts w:hint="eastAsia" w:ascii="仿宋" w:hAnsi="仿宋" w:eastAsia="仿宋" w:cs="仿宋"/>
        </w:rPr>
        <w:t>附：法定代表人有效的身份证正反面复印件，并加盖公章。</w:t>
      </w:r>
    </w:p>
    <w:p>
      <w:pPr>
        <w:pStyle w:val="11"/>
        <w:spacing w:line="460" w:lineRule="exact"/>
        <w:ind w:firstLine="539" w:firstLineChars="257"/>
        <w:rPr>
          <w:rFonts w:ascii="仿宋" w:hAnsi="仿宋" w:eastAsia="仿宋" w:cs="仿宋"/>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1"/>
              <w:spacing w:before="120" w:line="360" w:lineRule="auto"/>
              <w:rPr>
                <w:rFonts w:ascii="仿宋" w:hAnsi="仿宋" w:eastAsia="仿宋" w:cs="仿宋"/>
                <w:b/>
                <w:bCs/>
                <w:sz w:val="24"/>
                <w:szCs w:val="24"/>
              </w:rPr>
            </w:pPr>
            <w:r>
              <w:rPr>
                <w:rFonts w:hint="eastAsia" w:ascii="仿宋" w:hAnsi="仿宋" w:eastAsia="仿宋" w:cs="仿宋"/>
                <w:b/>
                <w:bCs/>
                <w:sz w:val="24"/>
                <w:szCs w:val="24"/>
              </w:rPr>
              <w:t>身份证正反面复印件</w:t>
            </w: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tc>
      </w:tr>
    </w:tbl>
    <w:p>
      <w:pPr>
        <w:pStyle w:val="11"/>
        <w:wordWrap w:val="0"/>
        <w:spacing w:line="460" w:lineRule="exact"/>
        <w:ind w:firstLine="539" w:firstLineChars="257"/>
        <w:jc w:val="right"/>
        <w:rPr>
          <w:rFonts w:ascii="仿宋" w:hAnsi="仿宋" w:eastAsia="仿宋" w:cs="仿宋"/>
        </w:rPr>
      </w:pPr>
      <w:r>
        <w:rPr>
          <w:rFonts w:hint="eastAsia" w:ascii="仿宋" w:hAnsi="仿宋" w:eastAsia="仿宋" w:cs="仿宋"/>
        </w:rPr>
        <w:t>供应商：（盖单位公章）</w:t>
      </w:r>
      <w:r>
        <w:rPr>
          <w:rFonts w:hint="eastAsia" w:ascii="仿宋" w:hAnsi="仿宋" w:eastAsia="仿宋" w:cs="仿宋"/>
          <w:u w:val="single"/>
        </w:rPr>
        <w:t xml:space="preserve">                     </w:t>
      </w:r>
    </w:p>
    <w:p>
      <w:pPr>
        <w:pStyle w:val="11"/>
        <w:spacing w:line="460" w:lineRule="exact"/>
        <w:ind w:firstLine="539" w:firstLineChars="257"/>
        <w:rPr>
          <w:rFonts w:ascii="仿宋" w:hAnsi="仿宋" w:eastAsia="仿宋" w:cs="仿宋"/>
        </w:rPr>
      </w:pPr>
    </w:p>
    <w:p>
      <w:pPr>
        <w:pStyle w:val="11"/>
        <w:spacing w:line="460" w:lineRule="exact"/>
        <w:ind w:firstLine="525" w:firstLineChars="250"/>
        <w:jc w:val="right"/>
        <w:rPr>
          <w:rFonts w:ascii="仿宋" w:hAnsi="仿宋" w:eastAsia="仿宋" w:cs="仿宋"/>
        </w:rPr>
      </w:pPr>
      <w:r>
        <w:rPr>
          <w:rFonts w:hint="eastAsia" w:ascii="仿宋" w:hAnsi="仿宋" w:eastAsia="仿宋" w:cs="仿宋"/>
        </w:rPr>
        <w:t>日期：   年    月    日</w:t>
      </w:r>
    </w:p>
    <w:p>
      <w:pPr>
        <w:pStyle w:val="15"/>
        <w:ind w:left="0" w:leftChars="0" w:firstLine="0" w:firstLineChars="0"/>
        <w:rPr>
          <w:rFonts w:hint="eastAsia"/>
          <w:b/>
          <w:bCs/>
        </w:rPr>
      </w:pPr>
    </w:p>
    <w:p>
      <w:pPr>
        <w:pStyle w:val="15"/>
        <w:ind w:left="0" w:leftChars="0" w:firstLine="0" w:firstLineChars="0"/>
        <w:rPr>
          <w:b/>
          <w:bCs/>
        </w:rPr>
      </w:pPr>
      <w:r>
        <w:rPr>
          <w:rFonts w:hint="eastAsia"/>
          <w:b/>
          <w:bCs/>
        </w:rPr>
        <w:t>附件四</w:t>
      </w:r>
    </w:p>
    <w:p>
      <w:pPr>
        <w:adjustRightInd w:val="0"/>
        <w:snapToGrid w:val="0"/>
        <w:spacing w:line="300" w:lineRule="auto"/>
        <w:jc w:val="center"/>
        <w:rPr>
          <w:rFonts w:ascii="宋体" w:hAnsi="宋体"/>
          <w:b/>
          <w:sz w:val="32"/>
          <w:szCs w:val="32"/>
        </w:rPr>
      </w:pPr>
      <w:r>
        <w:rPr>
          <w:rFonts w:hint="eastAsia" w:ascii="宋体" w:hAnsi="宋体"/>
          <w:b/>
          <w:sz w:val="32"/>
          <w:szCs w:val="32"/>
        </w:rPr>
        <w:t>法定代表人授权书</w:t>
      </w:r>
    </w:p>
    <w:p>
      <w:pPr>
        <w:adjustRightInd w:val="0"/>
        <w:snapToGrid w:val="0"/>
        <w:spacing w:line="300" w:lineRule="auto"/>
        <w:rPr>
          <w:rFonts w:ascii="宋体" w:hAnsi="宋体"/>
          <w:szCs w:val="21"/>
          <w:highlight w:val="yellow"/>
        </w:rPr>
      </w:pPr>
    </w:p>
    <w:p>
      <w:pPr>
        <w:snapToGrid w:val="0"/>
        <w:spacing w:before="156" w:beforeLines="50" w:after="50"/>
        <w:rPr>
          <w:rFonts w:ascii="仿宋" w:hAnsi="仿宋" w:eastAsia="仿宋" w:cs="仿宋"/>
          <w:b/>
          <w:bCs/>
          <w:sz w:val="24"/>
          <w:szCs w:val="20"/>
        </w:rPr>
      </w:pPr>
      <w:r>
        <w:rPr>
          <w:rFonts w:hint="eastAsia" w:ascii="仿宋" w:hAnsi="仿宋" w:eastAsia="仿宋" w:cs="仿宋"/>
          <w:bCs/>
          <w:sz w:val="24"/>
        </w:rPr>
        <w:t>致：</w:t>
      </w: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（采购人名称）</w:t>
      </w:r>
      <w:r>
        <w:rPr>
          <w:rFonts w:hint="eastAsia" w:ascii="仿宋" w:hAnsi="仿宋" w:eastAsia="仿宋" w:cs="仿宋"/>
          <w:b/>
          <w:bCs/>
          <w:sz w:val="24"/>
        </w:rPr>
        <w:t xml:space="preserve"> </w:t>
      </w:r>
      <w:r>
        <w:rPr>
          <w:rFonts w:hint="eastAsia" w:ascii="仿宋" w:hAnsi="仿宋" w:eastAsia="仿宋" w:cs="仿宋"/>
          <w:sz w:val="24"/>
        </w:rPr>
        <w:t>：</w:t>
      </w:r>
    </w:p>
    <w:p>
      <w:pPr>
        <w:snapToGrid w:val="0"/>
        <w:spacing w:before="156" w:beforeLines="50" w:after="50"/>
        <w:ind w:firstLine="566" w:firstLineChars="236"/>
        <w:rPr>
          <w:rFonts w:ascii="仿宋" w:hAnsi="仿宋" w:eastAsia="仿宋" w:cs="仿宋"/>
          <w:sz w:val="24"/>
          <w:u w:val="single"/>
        </w:rPr>
      </w:pPr>
      <w:r>
        <w:rPr>
          <w:rFonts w:hint="eastAsia" w:ascii="仿宋" w:hAnsi="仿宋" w:eastAsia="仿宋" w:cs="仿宋"/>
          <w:sz w:val="24"/>
        </w:rPr>
        <w:t xml:space="preserve">我 </w:t>
      </w:r>
      <w:r>
        <w:rPr>
          <w:rFonts w:hint="eastAsia" w:ascii="仿宋" w:hAnsi="仿宋" w:eastAsia="仿宋" w:cs="仿宋"/>
          <w:sz w:val="24"/>
          <w:u w:val="single"/>
        </w:rPr>
        <w:t xml:space="preserve">                </w:t>
      </w:r>
      <w:r>
        <w:rPr>
          <w:rFonts w:hint="eastAsia" w:ascii="仿宋" w:hAnsi="仿宋" w:eastAsia="仿宋" w:cs="仿宋"/>
          <w:sz w:val="24"/>
        </w:rPr>
        <w:t xml:space="preserve">（姓名）系 </w:t>
      </w:r>
      <w:r>
        <w:rPr>
          <w:rFonts w:hint="eastAsia" w:ascii="仿宋" w:hAnsi="仿宋" w:eastAsia="仿宋" w:cs="仿宋"/>
          <w:sz w:val="24"/>
          <w:u w:val="single"/>
        </w:rPr>
        <w:t xml:space="preserve">               </w:t>
      </w:r>
      <w:r>
        <w:rPr>
          <w:rFonts w:hint="eastAsia" w:ascii="仿宋" w:hAnsi="仿宋" w:eastAsia="仿宋" w:cs="仿宋"/>
          <w:sz w:val="24"/>
        </w:rPr>
        <w:t xml:space="preserve">（供应商名称）的法定代表人，现授权委托本单位在职职工 </w:t>
      </w:r>
      <w:r>
        <w:rPr>
          <w:rFonts w:hint="eastAsia" w:ascii="仿宋" w:hAnsi="仿宋" w:eastAsia="仿宋" w:cs="仿宋"/>
          <w:sz w:val="24"/>
          <w:u w:val="single"/>
        </w:rPr>
        <w:t xml:space="preserve">            </w:t>
      </w:r>
      <w:r>
        <w:rPr>
          <w:rFonts w:hint="eastAsia" w:ascii="仿宋" w:hAnsi="仿宋" w:eastAsia="仿宋" w:cs="仿宋"/>
          <w:sz w:val="24"/>
        </w:rPr>
        <w:t>（姓名）以我方的名义参加</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项目的竞标活动，并代表我方全权办理针对上述项目的竞标、开标、评标、签约等具体事务和签署相关文件。</w:t>
      </w:r>
    </w:p>
    <w:p>
      <w:pPr>
        <w:snapToGrid w:val="0"/>
        <w:spacing w:before="156" w:beforeLines="50" w:after="50"/>
        <w:rPr>
          <w:rFonts w:ascii="仿宋" w:hAnsi="仿宋" w:eastAsia="仿宋" w:cs="仿宋"/>
          <w:sz w:val="24"/>
          <w:szCs w:val="20"/>
        </w:rPr>
      </w:pPr>
      <w:r>
        <w:rPr>
          <w:rFonts w:hint="eastAsia" w:ascii="仿宋" w:hAnsi="仿宋" w:eastAsia="仿宋" w:cs="仿宋"/>
          <w:sz w:val="24"/>
        </w:rPr>
        <w:t xml:space="preserve">    我方对被授权人的签字事项负全部责任。</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u w:val="single"/>
        </w:rPr>
        <w:t>在撤销授权的书面通知以前，本授权书一直有效。</w:t>
      </w:r>
      <w:r>
        <w:rPr>
          <w:rFonts w:hint="eastAsia" w:ascii="仿宋" w:hAnsi="仿宋" w:eastAsia="仿宋" w:cs="仿宋"/>
          <w:sz w:val="24"/>
        </w:rPr>
        <w:t>被授权人在授权书有效期内签署的所有文件不因授权的撤销而失效。</w:t>
      </w:r>
    </w:p>
    <w:p>
      <w:pPr>
        <w:snapToGrid w:val="0"/>
        <w:spacing w:before="156" w:beforeLines="50" w:after="50"/>
        <w:ind w:firstLine="480"/>
        <w:rPr>
          <w:rFonts w:ascii="仿宋" w:hAnsi="仿宋" w:eastAsia="仿宋" w:cs="仿宋"/>
          <w:sz w:val="24"/>
        </w:rPr>
      </w:pPr>
      <w:r>
        <w:rPr>
          <w:rFonts w:hint="eastAsia" w:ascii="仿宋" w:hAnsi="仿宋" w:eastAsia="仿宋" w:cs="仿宋"/>
          <w:sz w:val="24"/>
        </w:rPr>
        <w:t>被授权人无转委托权，特此委托。</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rPr>
        <w:t>附：法定代表人身份证明书、法定代表人有效的身份证正反面复印件及被授权人有效的身份证正反面复印件。</w:t>
      </w:r>
    </w:p>
    <w:p>
      <w:pPr>
        <w:snapToGrid w:val="0"/>
        <w:spacing w:before="156" w:beforeLines="50" w:after="50"/>
        <w:rPr>
          <w:rFonts w:ascii="仿宋" w:hAnsi="仿宋" w:eastAsia="仿宋" w:cs="仿宋"/>
          <w:sz w:val="24"/>
          <w:szCs w:val="20"/>
        </w:rPr>
      </w:pPr>
    </w:p>
    <w:p>
      <w:pPr>
        <w:snapToGrid w:val="0"/>
        <w:spacing w:before="156" w:beforeLines="50" w:after="50"/>
        <w:rPr>
          <w:rFonts w:ascii="仿宋" w:hAnsi="仿宋" w:eastAsia="仿宋" w:cs="仿宋"/>
          <w:sz w:val="24"/>
          <w:u w:val="single"/>
        </w:rPr>
      </w:pPr>
      <w:r>
        <w:rPr>
          <w:rFonts w:hint="eastAsia" w:ascii="仿宋" w:hAnsi="仿宋" w:eastAsia="仿宋" w:cs="仿宋"/>
          <w:sz w:val="24"/>
        </w:rPr>
        <w:t>被授权人签字：</w:t>
      </w:r>
      <w:r>
        <w:rPr>
          <w:rFonts w:hint="eastAsia" w:ascii="仿宋" w:hAnsi="仿宋" w:eastAsia="仿宋" w:cs="仿宋"/>
          <w:sz w:val="24"/>
          <w:u w:val="single"/>
        </w:rPr>
        <w:t xml:space="preserve">               </w:t>
      </w: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所在部门职务：</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被授权人身份证号码：</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napToGrid w:val="0"/>
        <w:spacing w:before="156" w:beforeLines="50" w:after="50"/>
        <w:jc w:val="center"/>
        <w:rPr>
          <w:rFonts w:ascii="仿宋" w:hAnsi="仿宋" w:eastAsia="仿宋" w:cs="仿宋"/>
          <w:sz w:val="24"/>
          <w:szCs w:val="20"/>
        </w:rPr>
      </w:pPr>
      <w:r>
        <w:rPr>
          <w:rFonts w:hint="eastAsia" w:ascii="仿宋" w:hAnsi="仿宋" w:eastAsia="仿宋" w:cs="仿宋"/>
          <w:sz w:val="24"/>
        </w:rPr>
        <w:t xml:space="preserve">                                                供应商公章：</w:t>
      </w:r>
    </w:p>
    <w:p>
      <w:pPr>
        <w:autoSpaceDE w:val="0"/>
        <w:autoSpaceDN w:val="0"/>
        <w:spacing w:line="300" w:lineRule="auto"/>
        <w:ind w:left="480" w:hanging="480"/>
        <w:rPr>
          <w:rFonts w:ascii="仿宋" w:hAnsi="仿宋" w:eastAsia="仿宋" w:cs="仿宋"/>
          <w:szCs w:val="21"/>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年    月    日</w:t>
      </w:r>
    </w:p>
    <w:p>
      <w:pPr>
        <w:autoSpaceDE w:val="0"/>
        <w:autoSpaceDN w:val="0"/>
        <w:spacing w:line="300" w:lineRule="auto"/>
        <w:ind w:left="480" w:hanging="480"/>
        <w:rPr>
          <w:rFonts w:ascii="宋体" w:hAnsi="宋体"/>
          <w:szCs w:val="21"/>
          <w:highlight w:val="yellow"/>
        </w:rPr>
      </w:pPr>
    </w:p>
    <w:p>
      <w:pPr>
        <w:autoSpaceDE w:val="0"/>
        <w:autoSpaceDN w:val="0"/>
        <w:spacing w:line="300" w:lineRule="auto"/>
        <w:ind w:left="480" w:hanging="480"/>
        <w:rPr>
          <w:rFonts w:ascii="宋体" w:hAnsi="宋体"/>
          <w:szCs w:val="21"/>
          <w:highlight w:val="yellow"/>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1"/>
              <w:spacing w:before="120" w:line="360" w:lineRule="auto"/>
              <w:rPr>
                <w:rFonts w:ascii="仿宋" w:hAnsi="仿宋" w:eastAsia="仿宋" w:cs="仿宋"/>
                <w:b/>
                <w:bCs/>
                <w:sz w:val="24"/>
                <w:szCs w:val="24"/>
              </w:rPr>
            </w:pPr>
            <w:r>
              <w:rPr>
                <w:rFonts w:hint="eastAsia" w:ascii="仿宋" w:hAnsi="仿宋" w:eastAsia="仿宋" w:cs="仿宋"/>
                <w:b/>
                <w:bCs/>
                <w:sz w:val="24"/>
                <w:szCs w:val="24"/>
              </w:rPr>
              <w:t>附法定代表人以及被授权人身份证正反面复印件</w:t>
            </w: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tc>
      </w:tr>
    </w:tbl>
    <w:p>
      <w:pPr>
        <w:wordWrap w:val="0"/>
        <w:spacing w:line="500" w:lineRule="exact"/>
        <w:rPr>
          <w:rFonts w:asciiTheme="majorEastAsia" w:hAnsiTheme="majorEastAsia" w:eastAsiaTheme="majorEastAsia"/>
          <w:sz w:val="28"/>
        </w:rPr>
      </w:pPr>
      <w:r>
        <w:rPr>
          <w:rFonts w:ascii="宋体" w:hAnsi="宋体"/>
          <w:b/>
          <w:sz w:val="24"/>
          <w:highlight w:val="yellow"/>
        </w:rPr>
        <w:br w:type="page"/>
      </w:r>
    </w:p>
    <w:p>
      <w:pPr>
        <w:rPr>
          <w:rFonts w:ascii="宋体" w:hAnsi="宋体" w:cs="宋体"/>
          <w:b/>
          <w:bCs/>
          <w:sz w:val="28"/>
          <w:szCs w:val="28"/>
        </w:rPr>
      </w:pPr>
      <w:r>
        <w:rPr>
          <w:rFonts w:hint="eastAsia" w:ascii="宋体" w:hAnsi="宋体" w:cs="宋体"/>
          <w:b/>
          <w:bCs/>
          <w:sz w:val="28"/>
          <w:szCs w:val="28"/>
        </w:rPr>
        <w:t>附件五</w:t>
      </w:r>
    </w:p>
    <w:p>
      <w:pPr>
        <w:rPr>
          <w:rFonts w:ascii="宋体" w:hAnsi="宋体" w:cs="宋体"/>
          <w:sz w:val="32"/>
          <w:szCs w:val="32"/>
        </w:rPr>
      </w:pPr>
      <w:r>
        <w:rPr>
          <w:rFonts w:hint="eastAsia" w:ascii="宋体" w:hAnsi="宋体" w:cs="宋体"/>
          <w:b/>
          <w:bCs/>
          <w:sz w:val="32"/>
          <w:szCs w:val="32"/>
        </w:rPr>
        <w:t>有效的主体资格证明文件复印件：</w:t>
      </w:r>
    </w:p>
    <w:p>
      <w:pPr>
        <w:rPr>
          <w:rFonts w:ascii="宋体" w:hAnsi="宋体" w:cs="宋体"/>
          <w:sz w:val="24"/>
        </w:rPr>
      </w:pPr>
      <w:r>
        <w:rPr>
          <w:rFonts w:hint="eastAsia" w:ascii="宋体" w:hAnsi="宋体" w:cs="宋体"/>
          <w:sz w:val="24"/>
        </w:rPr>
        <w:t>①供应商有效的“主体资格证明文件”复印件（如营业执照、事业单位法人证书、执业许可证、自然人身份证等）；</w:t>
      </w:r>
      <w:r>
        <w:rPr>
          <w:rFonts w:hint="eastAsia" w:ascii="宋体" w:hAnsi="宋体" w:cs="宋体"/>
          <w:b/>
          <w:bCs/>
          <w:sz w:val="24"/>
          <w:highlight w:val="yellow"/>
        </w:rPr>
        <w:t>[必须提供]</w:t>
      </w:r>
      <w:r>
        <w:rPr>
          <w:rFonts w:hint="eastAsia" w:ascii="宋体" w:hAnsi="宋体" w:cs="宋体"/>
          <w:sz w:val="24"/>
        </w:rPr>
        <w:t xml:space="preserve"> </w:t>
      </w:r>
    </w:p>
    <w:p>
      <w:pPr>
        <w:jc w:val="left"/>
        <w:rPr>
          <w:rFonts w:ascii="黑体" w:hAnsi="黑体" w:eastAsia="黑体" w:cs="方正小标宋简体"/>
          <w:sz w:val="32"/>
          <w:szCs w:val="44"/>
        </w:rPr>
      </w:pPr>
      <w:r>
        <w:rPr>
          <w:rFonts w:ascii="黑体" w:hAnsi="黑体" w:eastAsia="黑体" w:cs="方正小标宋简体"/>
          <w:sz w:val="32"/>
          <w:szCs w:val="44"/>
        </w:rPr>
        <w:br w:type="page"/>
      </w:r>
    </w:p>
    <w:p>
      <w:pPr>
        <w:pStyle w:val="2"/>
      </w:pPr>
    </w:p>
    <w:p>
      <w:pPr>
        <w:autoSpaceDE w:val="0"/>
        <w:autoSpaceDN w:val="0"/>
        <w:spacing w:line="300" w:lineRule="auto"/>
        <w:ind w:left="480" w:hanging="480"/>
        <w:rPr>
          <w:rFonts w:ascii="宋体" w:hAnsi="宋体"/>
          <w:b/>
          <w:sz w:val="28"/>
          <w:szCs w:val="28"/>
        </w:rPr>
      </w:pPr>
      <w:r>
        <w:rPr>
          <w:rFonts w:hint="eastAsia" w:ascii="宋体" w:hAnsi="宋体"/>
          <w:b/>
          <w:sz w:val="28"/>
          <w:szCs w:val="28"/>
        </w:rPr>
        <w:t>附件六</w:t>
      </w:r>
    </w:p>
    <w:p>
      <w:pPr>
        <w:pStyle w:val="15"/>
        <w:ind w:left="980" w:hanging="560"/>
      </w:pPr>
    </w:p>
    <w:p>
      <w:pPr>
        <w:snapToGrid w:val="0"/>
        <w:spacing w:before="50" w:after="156" w:afterLines="50" w:line="360" w:lineRule="auto"/>
        <w:jc w:val="center"/>
        <w:rPr>
          <w:rFonts w:ascii="方正小标宋简体" w:hAnsi="方正小标宋简体" w:eastAsia="方正小标宋简体" w:cs="方正小标宋简体"/>
          <w:bCs/>
          <w:sz w:val="28"/>
          <w:szCs w:val="28"/>
        </w:rPr>
      </w:pPr>
      <w:r>
        <w:rPr>
          <w:rFonts w:hint="eastAsia" w:ascii="Cambria" w:hAnsi="Cambria" w:eastAsia="宋体" w:cs="Times New Roman"/>
          <w:b/>
          <w:bCs/>
          <w:sz w:val="40"/>
          <w:szCs w:val="32"/>
        </w:rPr>
        <w:t>供应商信用证明材料</w:t>
      </w:r>
    </w:p>
    <w:p>
      <w:pPr>
        <w:pStyle w:val="73"/>
        <w:numPr>
          <w:ilvl w:val="0"/>
          <w:numId w:val="1"/>
        </w:numPr>
        <w:rPr>
          <w:rFonts w:ascii="宋体" w:hAnsi="宋体" w:cs="宋体"/>
          <w:bCs/>
          <w:sz w:val="24"/>
        </w:rPr>
      </w:pPr>
      <w:r>
        <w:rPr>
          <w:rFonts w:hint="eastAsia" w:ascii="宋体" w:hAnsi="宋体" w:cs="宋体"/>
          <w:bCs/>
          <w:sz w:val="24"/>
        </w:rPr>
        <w:t>参加采购活动前三年内在经营活动中没有重大违法记录和不良信用记录的书面声明[</w:t>
      </w:r>
      <w:r>
        <w:rPr>
          <w:rFonts w:hint="eastAsia" w:ascii="宋体" w:hAnsi="宋体" w:cs="宋体"/>
          <w:bCs/>
          <w:sz w:val="24"/>
          <w:highlight w:val="yellow"/>
        </w:rPr>
        <w:t>格式自拟，必须提供</w:t>
      </w:r>
      <w:r>
        <w:rPr>
          <w:rFonts w:hint="eastAsia" w:ascii="宋体" w:hAnsi="宋体" w:cs="宋体"/>
          <w:bCs/>
          <w:sz w:val="24"/>
        </w:rPr>
        <w:t>]</w:t>
      </w:r>
    </w:p>
    <w:p>
      <w:pPr>
        <w:pStyle w:val="73"/>
        <w:numPr>
          <w:ilvl w:val="0"/>
          <w:numId w:val="1"/>
        </w:numPr>
        <w:rPr>
          <w:rFonts w:ascii="宋体" w:hAnsi="宋体" w:cs="宋体"/>
          <w:bCs/>
          <w:sz w:val="24"/>
        </w:rPr>
      </w:pPr>
      <w:r>
        <w:rPr>
          <w:rFonts w:hint="eastAsia" w:ascii="宋体" w:hAnsi="宋体" w:cs="宋体"/>
          <w:bCs/>
          <w:sz w:val="24"/>
        </w:rPr>
        <w:t>信用中国网站截图[</w:t>
      </w:r>
      <w:r>
        <w:rPr>
          <w:rFonts w:hint="eastAsia" w:ascii="宋体" w:hAnsi="宋体" w:cs="宋体"/>
          <w:bCs/>
          <w:sz w:val="24"/>
          <w:highlight w:val="yellow"/>
        </w:rPr>
        <w:t>必须提供</w:t>
      </w:r>
      <w:r>
        <w:rPr>
          <w:rFonts w:hint="eastAsia" w:ascii="宋体" w:hAnsi="宋体" w:cs="宋体"/>
          <w:bCs/>
          <w:sz w:val="24"/>
        </w:rPr>
        <w:t>]</w:t>
      </w:r>
    </w:p>
    <w:p>
      <w:pPr>
        <w:snapToGrid w:val="0"/>
        <w:spacing w:line="400" w:lineRule="exact"/>
        <w:rPr>
          <w:rFonts w:ascii="黑体" w:hAnsi="黑体" w:eastAsia="黑体" w:cs="方正小标宋简体"/>
          <w:sz w:val="32"/>
          <w:szCs w:val="44"/>
        </w:rPr>
      </w:pPr>
      <w:r>
        <w:rPr>
          <w:rFonts w:hint="eastAsia" w:ascii="宋体" w:hAnsi="宋体" w:cs="宋体"/>
          <w:bCs/>
          <w:sz w:val="24"/>
        </w:rPr>
        <w:t>3.中国政府采购网截图[</w:t>
      </w:r>
      <w:r>
        <w:rPr>
          <w:rFonts w:hint="eastAsia" w:ascii="宋体" w:hAnsi="宋体" w:cs="宋体"/>
          <w:bCs/>
          <w:sz w:val="24"/>
          <w:highlight w:val="yellow"/>
        </w:rPr>
        <w:t>必须提供</w:t>
      </w:r>
      <w:r>
        <w:rPr>
          <w:rFonts w:hint="eastAsia" w:ascii="宋体" w:hAnsi="宋体" w:cs="宋体"/>
          <w:bCs/>
          <w:sz w:val="24"/>
        </w:rPr>
        <w:t>]</w:t>
      </w:r>
    </w:p>
    <w:p>
      <w:pPr>
        <w:jc w:val="left"/>
        <w:rPr>
          <w:rFonts w:asciiTheme="majorEastAsia" w:hAnsiTheme="majorEastAsia" w:eastAsiaTheme="majorEastAsia"/>
          <w:b/>
          <w:sz w:val="32"/>
          <w:szCs w:val="32"/>
        </w:rPr>
      </w:pPr>
      <w:bookmarkStart w:id="14" w:name="_Toc42077370"/>
      <w:r>
        <w:rPr>
          <w:rFonts w:hint="eastAsia" w:asciiTheme="majorEastAsia" w:hAnsiTheme="majorEastAsia" w:eastAsiaTheme="majorEastAsia"/>
          <w:b/>
          <w:sz w:val="32"/>
          <w:szCs w:val="32"/>
        </w:rPr>
        <w:br w:type="page"/>
      </w:r>
    </w:p>
    <w:p>
      <w:pPr>
        <w:pStyle w:val="3"/>
        <w:spacing w:line="360" w:lineRule="exact"/>
        <w:ind w:right="960" w:firstLine="2400" w:firstLineChars="600"/>
        <w:jc w:val="left"/>
        <w:rPr>
          <w:b w:val="0"/>
          <w:bCs/>
          <w:sz w:val="40"/>
          <w:szCs w:val="22"/>
        </w:rPr>
      </w:pPr>
      <w:bookmarkStart w:id="15" w:name="_Toc24643"/>
      <w:r>
        <w:rPr>
          <w:rFonts w:hint="eastAsia"/>
          <w:b w:val="0"/>
          <w:bCs/>
          <w:sz w:val="40"/>
          <w:szCs w:val="22"/>
        </w:rPr>
        <w:t>第五章</w:t>
      </w:r>
      <w:r>
        <w:rPr>
          <w:b w:val="0"/>
          <w:bCs/>
          <w:sz w:val="40"/>
          <w:szCs w:val="22"/>
        </w:rPr>
        <w:t xml:space="preserve"> </w:t>
      </w:r>
      <w:r>
        <w:rPr>
          <w:rFonts w:hint="eastAsia"/>
          <w:b w:val="0"/>
          <w:bCs/>
          <w:sz w:val="40"/>
          <w:szCs w:val="22"/>
        </w:rPr>
        <w:t>合同主要条款</w:t>
      </w:r>
      <w:bookmarkEnd w:id="14"/>
      <w:bookmarkEnd w:id="15"/>
    </w:p>
    <w:p>
      <w:pPr>
        <w:spacing w:line="360" w:lineRule="exact"/>
        <w:ind w:right="960"/>
        <w:jc w:val="center"/>
        <w:rPr>
          <w:rFonts w:asciiTheme="majorEastAsia" w:hAnsiTheme="majorEastAsia" w:eastAsiaTheme="majorEastAsia"/>
          <w:b/>
          <w:sz w:val="32"/>
          <w:szCs w:val="32"/>
        </w:rPr>
      </w:pPr>
    </w:p>
    <w:p>
      <w:pPr>
        <w:pStyle w:val="4"/>
        <w:jc w:val="center"/>
        <w:rPr>
          <w:sz w:val="40"/>
        </w:rPr>
      </w:pPr>
      <w:r>
        <w:rPr>
          <w:rFonts w:hint="eastAsia"/>
          <w:sz w:val="40"/>
        </w:rPr>
        <w:t>广西工商职业技术</w:t>
      </w:r>
      <w:r>
        <w:rPr>
          <w:rFonts w:hint="eastAsia"/>
          <w:sz w:val="40"/>
          <w:lang w:eastAsia="zh-CN"/>
        </w:rPr>
        <w:t>学院</w:t>
      </w:r>
      <w:r>
        <w:rPr>
          <w:rFonts w:hint="eastAsia"/>
          <w:sz w:val="40"/>
        </w:rPr>
        <w:t>鹏飞、中尧、武鸣校区学生公寓、公共区域化粪池进行定期集中清理服务项目</w:t>
      </w:r>
    </w:p>
    <w:p/>
    <w:p>
      <w:pPr>
        <w:spacing w:line="500" w:lineRule="exact"/>
        <w:jc w:val="center"/>
        <w:rPr>
          <w:rFonts w:ascii="宋体" w:hAnsi="宋体" w:cs="宋体"/>
          <w:b/>
          <w:bCs/>
          <w:sz w:val="44"/>
          <w:szCs w:val="52"/>
        </w:rPr>
      </w:pPr>
      <w:bookmarkStart w:id="16" w:name="_Toc15562802"/>
      <w:r>
        <w:rPr>
          <w:rFonts w:hint="eastAsia" w:ascii="宋体" w:hAnsi="宋体" w:cs="宋体"/>
          <w:b/>
          <w:bCs/>
          <w:sz w:val="44"/>
          <w:szCs w:val="52"/>
        </w:rPr>
        <w:t>采购合同</w:t>
      </w:r>
    </w:p>
    <w:p>
      <w:pPr>
        <w:spacing w:line="500" w:lineRule="exact"/>
        <w:rPr>
          <w:rFonts w:ascii="宋体" w:hAnsi="宋体" w:cs="宋体"/>
          <w:b/>
          <w:sz w:val="36"/>
          <w:szCs w:val="36"/>
        </w:rPr>
      </w:pPr>
    </w:p>
    <w:bookmarkEnd w:id="16"/>
    <w:p>
      <w:pPr>
        <w:snapToGrid w:val="0"/>
        <w:spacing w:before="120" w:line="360" w:lineRule="auto"/>
        <w:rPr>
          <w:rFonts w:ascii="宋体" w:hAnsi="宋体" w:cs="宋体"/>
          <w:szCs w:val="21"/>
        </w:rPr>
      </w:pPr>
      <w:r>
        <w:rPr>
          <w:rFonts w:hint="eastAsia" w:ascii="宋体" w:hAnsi="宋体" w:cs="宋体"/>
          <w:bCs/>
          <w:szCs w:val="21"/>
        </w:rPr>
        <w:t>合同编号：</w:t>
      </w:r>
    </w:p>
    <w:p>
      <w:pPr>
        <w:snapToGrid w:val="0"/>
        <w:spacing w:line="460" w:lineRule="exact"/>
        <w:rPr>
          <w:rFonts w:ascii="宋体" w:hAnsi="宋体" w:cs="宋体"/>
          <w:szCs w:val="21"/>
          <w:u w:val="single"/>
        </w:rPr>
      </w:pPr>
      <w:r>
        <w:rPr>
          <w:rFonts w:hint="eastAsia" w:ascii="宋体" w:hAnsi="宋体" w:cs="宋体"/>
          <w:szCs w:val="21"/>
        </w:rPr>
        <w:t>采购单位（甲方）</w:t>
      </w:r>
      <w:r>
        <w:rPr>
          <w:rFonts w:hint="eastAsia" w:ascii="宋体" w:hAnsi="宋体" w:cs="宋体"/>
          <w:szCs w:val="21"/>
          <w:u w:val="single"/>
        </w:rPr>
        <w:t xml:space="preserve">                        </w:t>
      </w:r>
      <w:r>
        <w:rPr>
          <w:rFonts w:hint="eastAsia" w:ascii="宋体" w:hAnsi="宋体" w:cs="宋体"/>
          <w:szCs w:val="21"/>
        </w:rPr>
        <w:t xml:space="preserve">     采购计划号：</w:t>
      </w:r>
      <w:r>
        <w:rPr>
          <w:rFonts w:hint="eastAsia" w:ascii="宋体" w:hAnsi="宋体" w:cs="宋体"/>
          <w:szCs w:val="21"/>
          <w:u w:val="single"/>
        </w:rPr>
        <w:t xml:space="preserve">                          </w:t>
      </w:r>
    </w:p>
    <w:p>
      <w:pPr>
        <w:snapToGrid w:val="0"/>
        <w:spacing w:line="460" w:lineRule="exact"/>
        <w:rPr>
          <w:rFonts w:ascii="宋体" w:hAnsi="宋体" w:cs="宋体"/>
          <w:szCs w:val="21"/>
          <w:u w:val="single"/>
        </w:rPr>
      </w:pPr>
      <w:r>
        <w:rPr>
          <w:rFonts w:hint="eastAsia" w:ascii="宋体" w:hAnsi="宋体" w:cs="宋体"/>
          <w:szCs w:val="21"/>
        </w:rPr>
        <w:t>中标（成交）人（乙方）</w:t>
      </w:r>
      <w:r>
        <w:rPr>
          <w:rFonts w:hint="eastAsia" w:ascii="宋体" w:hAnsi="宋体" w:cs="宋体"/>
          <w:szCs w:val="21"/>
          <w:u w:val="single"/>
        </w:rPr>
        <w:t xml:space="preserve">                          </w:t>
      </w:r>
      <w:r>
        <w:rPr>
          <w:rFonts w:hint="eastAsia" w:ascii="宋体" w:hAnsi="宋体" w:cs="宋体"/>
          <w:szCs w:val="21"/>
        </w:rPr>
        <w:t xml:space="preserve">     项目名称 ：</w:t>
      </w:r>
      <w:r>
        <w:rPr>
          <w:rFonts w:hint="eastAsia" w:ascii="宋体" w:hAnsi="宋体" w:cs="宋体"/>
          <w:szCs w:val="21"/>
          <w:u w:val="single"/>
        </w:rPr>
        <w:t xml:space="preserve">                            </w:t>
      </w:r>
    </w:p>
    <w:p>
      <w:pPr>
        <w:snapToGrid w:val="0"/>
        <w:spacing w:line="460" w:lineRule="exact"/>
        <w:rPr>
          <w:rFonts w:ascii="宋体" w:hAnsi="宋体" w:cs="宋体"/>
          <w:szCs w:val="21"/>
          <w:u w:val="single"/>
        </w:rPr>
      </w:pPr>
      <w:r>
        <w:rPr>
          <w:rFonts w:hint="eastAsia" w:ascii="宋体" w:hAnsi="宋体" w:cs="宋体"/>
          <w:szCs w:val="21"/>
        </w:rPr>
        <w:t>签  订  地  点</w:t>
      </w:r>
      <w:r>
        <w:rPr>
          <w:rFonts w:hint="eastAsia" w:ascii="宋体" w:hAnsi="宋体" w:cs="宋体"/>
          <w:szCs w:val="21"/>
          <w:u w:val="single"/>
        </w:rPr>
        <w:t xml:space="preserve">                           </w:t>
      </w:r>
      <w:r>
        <w:rPr>
          <w:rFonts w:hint="eastAsia" w:ascii="宋体" w:hAnsi="宋体" w:cs="宋体"/>
          <w:szCs w:val="21"/>
        </w:rPr>
        <w:t xml:space="preserve">     签 订 时 间</w:t>
      </w:r>
      <w:r>
        <w:rPr>
          <w:rFonts w:hint="eastAsia" w:ascii="宋体" w:hAnsi="宋体" w:cs="宋体"/>
          <w:szCs w:val="21"/>
          <w:u w:val="single"/>
        </w:rPr>
        <w:t xml:space="preserve">                           </w:t>
      </w:r>
    </w:p>
    <w:p>
      <w:pPr>
        <w:snapToGrid w:val="0"/>
        <w:spacing w:line="460" w:lineRule="exact"/>
        <w:ind w:firstLine="420" w:firstLineChars="200"/>
        <w:rPr>
          <w:rFonts w:ascii="宋体" w:hAnsi="宋体" w:cs="宋体"/>
          <w:szCs w:val="21"/>
        </w:rPr>
      </w:pPr>
      <w:r>
        <w:rPr>
          <w:rFonts w:hint="eastAsia" w:ascii="宋体" w:hAnsi="宋体" w:cs="宋体"/>
          <w:szCs w:val="21"/>
        </w:rPr>
        <w:t>根据《中华人民共和国民法典》等法律、法规规定，按照招投标文件（采购文件）规定条款和中标（成交）供应商承诺，甲乙双方签订本合同。</w:t>
      </w:r>
    </w:p>
    <w:p>
      <w:pPr>
        <w:snapToGrid w:val="0"/>
        <w:spacing w:line="460" w:lineRule="exact"/>
        <w:ind w:firstLine="422" w:firstLineChars="200"/>
        <w:rPr>
          <w:rFonts w:ascii="宋体" w:hAnsi="宋体" w:cs="宋体"/>
          <w:b/>
          <w:szCs w:val="21"/>
        </w:rPr>
      </w:pPr>
      <w:r>
        <w:rPr>
          <w:rFonts w:hint="eastAsia" w:ascii="宋体" w:hAnsi="宋体" w:cs="宋体"/>
          <w:b/>
          <w:szCs w:val="21"/>
        </w:rPr>
        <w:t>第一条　合同标的</w:t>
      </w:r>
    </w:p>
    <w:p>
      <w:pPr>
        <w:snapToGrid w:val="0"/>
        <w:spacing w:line="460" w:lineRule="exact"/>
        <w:ind w:firstLine="420" w:firstLineChars="200"/>
        <w:rPr>
          <w:rFonts w:ascii="宋体" w:hAnsi="宋体" w:cs="宋体"/>
          <w:szCs w:val="21"/>
        </w:rPr>
      </w:pPr>
      <w:r>
        <w:rPr>
          <w:rFonts w:hint="eastAsia" w:ascii="宋体" w:hAnsi="宋体" w:cs="宋体"/>
          <w:szCs w:val="21"/>
        </w:rPr>
        <w:t>1、服务内容一览表</w:t>
      </w:r>
    </w:p>
    <w:tbl>
      <w:tblPr>
        <w:tblStyle w:val="17"/>
        <w:tblpPr w:leftFromText="180" w:rightFromText="180" w:vertAnchor="text" w:horzAnchor="page" w:tblpXSpec="center" w:tblpY="563"/>
        <w:tblOverlap w:val="never"/>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633"/>
        <w:gridCol w:w="1470"/>
        <w:gridCol w:w="1750"/>
        <w:gridCol w:w="1613"/>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88" w:type="dxa"/>
            <w:tcBorders>
              <w:tl2br w:val="nil"/>
              <w:tr2bl w:val="nil"/>
            </w:tcBorders>
            <w:shd w:val="clear" w:color="auto" w:fill="auto"/>
            <w:noWrap/>
            <w:vAlign w:val="center"/>
          </w:tcPr>
          <w:p>
            <w:pPr>
              <w:widowControl/>
              <w:spacing w:line="240" w:lineRule="exact"/>
              <w:jc w:val="center"/>
              <w:rPr>
                <w:rFonts w:ascii="仿宋" w:hAnsi="仿宋" w:eastAsia="仿宋"/>
                <w:b/>
                <w:bCs/>
                <w:szCs w:val="21"/>
                <w:highlight w:val="none"/>
              </w:rPr>
            </w:pPr>
            <w:r>
              <w:rPr>
                <w:rFonts w:hint="eastAsia" w:ascii="仿宋" w:hAnsi="仿宋" w:eastAsia="仿宋"/>
                <w:b/>
                <w:bCs/>
                <w:szCs w:val="21"/>
                <w:highlight w:val="none"/>
              </w:rPr>
              <w:t>地点</w:t>
            </w:r>
          </w:p>
        </w:tc>
        <w:tc>
          <w:tcPr>
            <w:tcW w:w="1633" w:type="dxa"/>
            <w:tcBorders>
              <w:tl2br w:val="nil"/>
              <w:tr2bl w:val="nil"/>
            </w:tcBorders>
            <w:shd w:val="clear" w:color="auto" w:fill="auto"/>
            <w:noWrap/>
            <w:vAlign w:val="center"/>
          </w:tcPr>
          <w:p>
            <w:pPr>
              <w:widowControl/>
              <w:spacing w:line="240" w:lineRule="exact"/>
              <w:jc w:val="center"/>
              <w:rPr>
                <w:rFonts w:ascii="仿宋" w:hAnsi="仿宋" w:eastAsia="仿宋" w:cstheme="minorBidi"/>
                <w:b/>
                <w:bCs/>
                <w:szCs w:val="21"/>
                <w:highlight w:val="none"/>
              </w:rPr>
            </w:pPr>
            <w:r>
              <w:rPr>
                <w:rFonts w:hint="eastAsia" w:ascii="仿宋" w:hAnsi="仿宋" w:eastAsia="仿宋"/>
                <w:b/>
                <w:bCs/>
                <w:szCs w:val="21"/>
                <w:highlight w:val="none"/>
              </w:rPr>
              <w:t>清理频率</w:t>
            </w:r>
          </w:p>
        </w:tc>
        <w:tc>
          <w:tcPr>
            <w:tcW w:w="1470" w:type="dxa"/>
            <w:tcBorders>
              <w:tl2br w:val="nil"/>
              <w:tr2bl w:val="nil"/>
            </w:tcBorders>
            <w:shd w:val="clear" w:color="auto" w:fill="auto"/>
            <w:noWrap/>
            <w:vAlign w:val="center"/>
          </w:tcPr>
          <w:p>
            <w:pPr>
              <w:widowControl/>
              <w:spacing w:line="240" w:lineRule="exact"/>
              <w:jc w:val="center"/>
              <w:rPr>
                <w:rFonts w:ascii="仿宋" w:hAnsi="仿宋" w:eastAsia="仿宋"/>
                <w:b/>
                <w:bCs/>
                <w:szCs w:val="21"/>
                <w:highlight w:val="none"/>
              </w:rPr>
            </w:pPr>
            <w:r>
              <w:rPr>
                <w:rFonts w:hint="eastAsia" w:ascii="仿宋" w:hAnsi="仿宋" w:eastAsia="仿宋"/>
                <w:b/>
                <w:bCs/>
                <w:szCs w:val="21"/>
                <w:highlight w:val="none"/>
              </w:rPr>
              <w:t>容量</w:t>
            </w:r>
          </w:p>
        </w:tc>
        <w:tc>
          <w:tcPr>
            <w:tcW w:w="1750" w:type="dxa"/>
            <w:tcBorders>
              <w:tl2br w:val="nil"/>
              <w:tr2bl w:val="nil"/>
            </w:tcBorders>
            <w:shd w:val="clear" w:color="auto" w:fill="auto"/>
            <w:noWrap/>
            <w:vAlign w:val="center"/>
          </w:tcPr>
          <w:p>
            <w:pPr>
              <w:widowControl/>
              <w:spacing w:line="240" w:lineRule="exact"/>
              <w:jc w:val="center"/>
              <w:rPr>
                <w:rFonts w:ascii="仿宋" w:hAnsi="仿宋" w:eastAsia="仿宋"/>
                <w:b/>
                <w:bCs/>
                <w:szCs w:val="21"/>
                <w:highlight w:val="none"/>
              </w:rPr>
            </w:pPr>
            <w:r>
              <w:rPr>
                <w:rFonts w:hint="eastAsia" w:ascii="仿宋" w:hAnsi="仿宋" w:eastAsia="仿宋"/>
                <w:b/>
                <w:bCs/>
                <w:szCs w:val="21"/>
                <w:highlight w:val="none"/>
              </w:rPr>
              <w:t>化粪池数</w:t>
            </w:r>
          </w:p>
        </w:tc>
        <w:tc>
          <w:tcPr>
            <w:tcW w:w="1613" w:type="dxa"/>
            <w:tcBorders>
              <w:tl2br w:val="nil"/>
              <w:tr2bl w:val="nil"/>
            </w:tcBorders>
            <w:shd w:val="clear" w:color="auto" w:fill="auto"/>
            <w:vAlign w:val="center"/>
          </w:tcPr>
          <w:p>
            <w:pPr>
              <w:widowControl/>
              <w:spacing w:line="240" w:lineRule="exact"/>
              <w:jc w:val="center"/>
              <w:rPr>
                <w:rFonts w:ascii="仿宋" w:hAnsi="仿宋" w:eastAsia="仿宋"/>
                <w:b/>
                <w:bCs/>
                <w:szCs w:val="21"/>
                <w:highlight w:val="none"/>
              </w:rPr>
            </w:pPr>
            <w:r>
              <w:rPr>
                <w:rFonts w:hint="eastAsia" w:ascii="仿宋" w:hAnsi="仿宋" w:eastAsia="仿宋"/>
                <w:b/>
                <w:bCs/>
                <w:szCs w:val="21"/>
                <w:highlight w:val="none"/>
              </w:rPr>
              <w:t>清理次数</w:t>
            </w:r>
          </w:p>
        </w:tc>
        <w:tc>
          <w:tcPr>
            <w:tcW w:w="1452" w:type="dxa"/>
            <w:tcBorders>
              <w:tl2br w:val="nil"/>
              <w:tr2bl w:val="nil"/>
            </w:tcBorders>
            <w:shd w:val="clear" w:color="auto" w:fill="auto"/>
            <w:vAlign w:val="center"/>
          </w:tcPr>
          <w:p>
            <w:pPr>
              <w:widowControl/>
              <w:spacing w:line="400" w:lineRule="exact"/>
              <w:jc w:val="center"/>
              <w:rPr>
                <w:rFonts w:ascii="仿宋" w:hAnsi="仿宋" w:eastAsia="仿宋"/>
                <w:b/>
                <w:bCs/>
                <w:szCs w:val="21"/>
                <w:highlight w:val="none"/>
              </w:rPr>
            </w:pPr>
            <w:r>
              <w:rPr>
                <w:rFonts w:hint="eastAsia" w:ascii="仿宋" w:hAnsi="仿宋" w:eastAsia="仿宋"/>
                <w:b/>
                <w:bCs/>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488" w:type="dxa"/>
            <w:tcBorders>
              <w:tl2br w:val="nil"/>
              <w:tr2bl w:val="nil"/>
            </w:tcBorders>
            <w:shd w:val="clear" w:color="auto" w:fill="auto"/>
            <w:noWrap/>
            <w:vAlign w:val="center"/>
          </w:tcPr>
          <w:p>
            <w:pPr>
              <w:widowControl/>
              <w:spacing w:line="240" w:lineRule="exact"/>
              <w:jc w:val="center"/>
              <w:rPr>
                <w:rFonts w:ascii="仿宋" w:hAnsi="仿宋" w:eastAsia="仿宋"/>
                <w:szCs w:val="21"/>
                <w:highlight w:val="none"/>
              </w:rPr>
            </w:pPr>
            <w:r>
              <w:rPr>
                <w:rFonts w:hint="eastAsia" w:ascii="仿宋" w:hAnsi="仿宋" w:eastAsia="仿宋"/>
                <w:szCs w:val="21"/>
                <w:highlight w:val="none"/>
              </w:rPr>
              <w:t>中尧校区</w:t>
            </w:r>
          </w:p>
          <w:p>
            <w:pPr>
              <w:widowControl/>
              <w:spacing w:line="240" w:lineRule="exact"/>
              <w:jc w:val="center"/>
              <w:rPr>
                <w:rFonts w:ascii="仿宋" w:hAnsi="仿宋" w:eastAsia="仿宋" w:cstheme="minorBidi"/>
                <w:szCs w:val="21"/>
                <w:highlight w:val="none"/>
              </w:rPr>
            </w:pPr>
            <w:r>
              <w:rPr>
                <w:rFonts w:hint="eastAsia" w:ascii="仿宋" w:hAnsi="仿宋" w:eastAsia="仿宋"/>
                <w:szCs w:val="21"/>
                <w:highlight w:val="none"/>
              </w:rPr>
              <w:t>地址：南宁市西乡塘区中尧路</w:t>
            </w:r>
            <w:r>
              <w:rPr>
                <w:rFonts w:ascii="仿宋" w:hAnsi="仿宋" w:eastAsia="仿宋"/>
                <w:szCs w:val="21"/>
                <w:highlight w:val="none"/>
              </w:rPr>
              <w:t>15号</w:t>
            </w:r>
          </w:p>
        </w:tc>
        <w:tc>
          <w:tcPr>
            <w:tcW w:w="1633" w:type="dxa"/>
            <w:tcBorders>
              <w:tl2br w:val="nil"/>
              <w:tr2bl w:val="nil"/>
            </w:tcBorders>
            <w:shd w:val="clear" w:color="auto" w:fill="auto"/>
            <w:noWrap/>
            <w:vAlign w:val="center"/>
          </w:tcPr>
          <w:p>
            <w:pPr>
              <w:widowControl/>
              <w:spacing w:line="240" w:lineRule="exact"/>
              <w:jc w:val="center"/>
              <w:rPr>
                <w:rFonts w:ascii="仿宋" w:hAnsi="仿宋" w:eastAsia="仿宋" w:cstheme="minorBidi"/>
                <w:szCs w:val="21"/>
                <w:highlight w:val="none"/>
              </w:rPr>
            </w:pPr>
            <w:r>
              <w:rPr>
                <w:rFonts w:hint="eastAsia" w:ascii="仿宋" w:hAnsi="仿宋" w:eastAsia="仿宋"/>
                <w:szCs w:val="21"/>
                <w:highlight w:val="none"/>
              </w:rPr>
              <w:t>每两月1次</w:t>
            </w:r>
          </w:p>
        </w:tc>
        <w:tc>
          <w:tcPr>
            <w:tcW w:w="1470" w:type="dxa"/>
            <w:tcBorders>
              <w:tl2br w:val="nil"/>
              <w:tr2bl w:val="nil"/>
            </w:tcBorders>
            <w:shd w:val="clear" w:color="auto" w:fill="auto"/>
            <w:noWrap/>
            <w:vAlign w:val="center"/>
          </w:tcPr>
          <w:p>
            <w:pPr>
              <w:widowControl/>
              <w:spacing w:line="240" w:lineRule="exact"/>
              <w:jc w:val="center"/>
              <w:rPr>
                <w:rFonts w:ascii="仿宋" w:hAnsi="仿宋" w:eastAsia="仿宋"/>
                <w:szCs w:val="21"/>
                <w:highlight w:val="none"/>
              </w:rPr>
            </w:pPr>
            <w:r>
              <w:rPr>
                <w:rFonts w:hint="eastAsia" w:ascii="仿宋" w:hAnsi="仿宋" w:eastAsia="仿宋"/>
                <w:szCs w:val="21"/>
                <w:highlight w:val="none"/>
              </w:rPr>
              <w:t>约30</w:t>
            </w:r>
            <w:r>
              <w:rPr>
                <w:rFonts w:hint="eastAsia" w:ascii="微软雅黑" w:hAnsi="微软雅黑" w:eastAsia="微软雅黑" w:cs="微软雅黑"/>
                <w:szCs w:val="21"/>
                <w:highlight w:val="none"/>
              </w:rPr>
              <w:t>㎥</w:t>
            </w:r>
          </w:p>
          <w:p>
            <w:pPr>
              <w:widowControl/>
              <w:spacing w:line="240" w:lineRule="exact"/>
              <w:jc w:val="center"/>
              <w:rPr>
                <w:rFonts w:ascii="仿宋" w:hAnsi="仿宋" w:eastAsia="仿宋" w:cstheme="minorBidi"/>
                <w:szCs w:val="21"/>
                <w:highlight w:val="none"/>
              </w:rPr>
            </w:pPr>
            <w:r>
              <w:rPr>
                <w:rFonts w:hint="eastAsia" w:ascii="仿宋" w:hAnsi="仿宋" w:eastAsia="仿宋"/>
                <w:szCs w:val="21"/>
                <w:highlight w:val="none"/>
              </w:rPr>
              <w:t>/个</w:t>
            </w:r>
          </w:p>
        </w:tc>
        <w:tc>
          <w:tcPr>
            <w:tcW w:w="1750" w:type="dxa"/>
            <w:tcBorders>
              <w:tl2br w:val="nil"/>
              <w:tr2bl w:val="nil"/>
            </w:tcBorders>
            <w:shd w:val="clear" w:color="auto" w:fill="auto"/>
            <w:noWrap/>
            <w:vAlign w:val="center"/>
          </w:tcPr>
          <w:p>
            <w:pPr>
              <w:widowControl/>
              <w:spacing w:line="240" w:lineRule="exact"/>
              <w:jc w:val="center"/>
              <w:rPr>
                <w:rFonts w:ascii="仿宋" w:hAnsi="仿宋" w:eastAsia="仿宋" w:cstheme="minorBidi"/>
                <w:szCs w:val="21"/>
                <w:highlight w:val="none"/>
              </w:rPr>
            </w:pPr>
            <w:r>
              <w:rPr>
                <w:rFonts w:hint="eastAsia" w:ascii="仿宋" w:hAnsi="仿宋" w:eastAsia="仿宋"/>
                <w:szCs w:val="21"/>
                <w:highlight w:val="none"/>
              </w:rPr>
              <w:t>22</w:t>
            </w:r>
          </w:p>
        </w:tc>
        <w:tc>
          <w:tcPr>
            <w:tcW w:w="1613" w:type="dxa"/>
            <w:tcBorders>
              <w:tl2br w:val="nil"/>
              <w:tr2bl w:val="nil"/>
            </w:tcBorders>
            <w:shd w:val="clear" w:color="auto" w:fill="auto"/>
            <w:noWrap/>
            <w:vAlign w:val="center"/>
          </w:tcPr>
          <w:p>
            <w:pPr>
              <w:widowControl/>
              <w:spacing w:line="240" w:lineRule="exact"/>
              <w:jc w:val="center"/>
              <w:rPr>
                <w:rFonts w:ascii="仿宋" w:hAnsi="仿宋" w:eastAsia="仿宋" w:cstheme="minorBidi"/>
                <w:szCs w:val="21"/>
                <w:highlight w:val="none"/>
              </w:rPr>
            </w:pPr>
            <w:r>
              <w:rPr>
                <w:rFonts w:hint="eastAsia" w:ascii="仿宋" w:hAnsi="仿宋" w:eastAsia="仿宋"/>
                <w:szCs w:val="21"/>
                <w:highlight w:val="none"/>
              </w:rPr>
              <w:t>6</w:t>
            </w:r>
          </w:p>
        </w:tc>
        <w:tc>
          <w:tcPr>
            <w:tcW w:w="1452" w:type="dxa"/>
            <w:vMerge w:val="restart"/>
            <w:tcBorders>
              <w:tl2br w:val="nil"/>
              <w:tr2bl w:val="nil"/>
            </w:tcBorders>
            <w:shd w:val="clear" w:color="auto" w:fill="auto"/>
            <w:noWrap/>
            <w:vAlign w:val="center"/>
          </w:tcPr>
          <w:p>
            <w:pPr>
              <w:widowControl/>
              <w:spacing w:line="400" w:lineRule="exact"/>
              <w:jc w:val="left"/>
              <w:rPr>
                <w:rFonts w:ascii="仿宋" w:hAnsi="仿宋" w:eastAsia="仿宋"/>
                <w:szCs w:val="21"/>
                <w:highlight w:val="none"/>
              </w:rPr>
            </w:pPr>
            <w:r>
              <w:rPr>
                <w:rFonts w:hint="eastAsia" w:ascii="仿宋" w:hAnsi="仿宋" w:eastAsia="仿宋"/>
                <w:szCs w:val="21"/>
                <w:highlight w:val="none"/>
              </w:rPr>
              <w:t>化粪池1级2级3级的粪便以及杂物全部清理干净，并运到合法的污水处理厂倾倒。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488" w:type="dxa"/>
            <w:tcBorders>
              <w:tl2br w:val="nil"/>
              <w:tr2bl w:val="nil"/>
            </w:tcBorders>
            <w:shd w:val="clear" w:color="auto" w:fill="auto"/>
            <w:noWrap/>
            <w:vAlign w:val="center"/>
          </w:tcPr>
          <w:p>
            <w:pPr>
              <w:widowControl/>
              <w:spacing w:line="240" w:lineRule="exact"/>
              <w:jc w:val="center"/>
              <w:rPr>
                <w:rFonts w:ascii="仿宋" w:hAnsi="仿宋" w:eastAsia="仿宋"/>
                <w:szCs w:val="21"/>
                <w:highlight w:val="none"/>
              </w:rPr>
            </w:pPr>
            <w:r>
              <w:rPr>
                <w:rFonts w:hint="eastAsia" w:ascii="仿宋" w:hAnsi="仿宋" w:eastAsia="仿宋"/>
                <w:szCs w:val="21"/>
                <w:highlight w:val="none"/>
              </w:rPr>
              <w:t>鹏飞校区</w:t>
            </w:r>
          </w:p>
          <w:p>
            <w:pPr>
              <w:widowControl/>
              <w:spacing w:line="240" w:lineRule="exact"/>
              <w:jc w:val="center"/>
              <w:rPr>
                <w:rFonts w:ascii="仿宋" w:hAnsi="仿宋" w:eastAsia="仿宋" w:cstheme="minorBidi"/>
                <w:szCs w:val="21"/>
                <w:highlight w:val="none"/>
              </w:rPr>
            </w:pPr>
            <w:r>
              <w:rPr>
                <w:rFonts w:hint="eastAsia" w:ascii="仿宋" w:hAnsi="仿宋" w:eastAsia="仿宋"/>
                <w:szCs w:val="21"/>
                <w:highlight w:val="none"/>
              </w:rPr>
              <w:t>地址：南宁市西乡塘区鹏飞路15号</w:t>
            </w:r>
          </w:p>
        </w:tc>
        <w:tc>
          <w:tcPr>
            <w:tcW w:w="1633" w:type="dxa"/>
            <w:tcBorders>
              <w:tl2br w:val="nil"/>
              <w:tr2bl w:val="nil"/>
            </w:tcBorders>
            <w:shd w:val="clear" w:color="auto" w:fill="auto"/>
            <w:noWrap/>
            <w:vAlign w:val="center"/>
          </w:tcPr>
          <w:p>
            <w:pPr>
              <w:widowControl/>
              <w:spacing w:line="240" w:lineRule="exact"/>
              <w:jc w:val="center"/>
              <w:rPr>
                <w:rFonts w:ascii="仿宋" w:hAnsi="仿宋" w:eastAsia="仿宋" w:cstheme="minorBidi"/>
                <w:szCs w:val="21"/>
                <w:highlight w:val="none"/>
              </w:rPr>
            </w:pPr>
            <w:r>
              <w:rPr>
                <w:rFonts w:hint="eastAsia" w:ascii="仿宋" w:hAnsi="仿宋" w:eastAsia="仿宋"/>
                <w:szCs w:val="21"/>
                <w:highlight w:val="none"/>
              </w:rPr>
              <w:t>寒暑假各1次</w:t>
            </w:r>
          </w:p>
        </w:tc>
        <w:tc>
          <w:tcPr>
            <w:tcW w:w="1470" w:type="dxa"/>
            <w:tcBorders>
              <w:tl2br w:val="nil"/>
              <w:tr2bl w:val="nil"/>
            </w:tcBorders>
            <w:shd w:val="clear" w:color="auto" w:fill="auto"/>
            <w:noWrap/>
            <w:vAlign w:val="center"/>
          </w:tcPr>
          <w:p>
            <w:pPr>
              <w:widowControl/>
              <w:spacing w:line="240" w:lineRule="exact"/>
              <w:jc w:val="center"/>
              <w:rPr>
                <w:rFonts w:ascii="仿宋" w:hAnsi="仿宋" w:eastAsia="仿宋"/>
                <w:szCs w:val="21"/>
                <w:highlight w:val="none"/>
              </w:rPr>
            </w:pPr>
            <w:r>
              <w:rPr>
                <w:rFonts w:hint="eastAsia" w:ascii="仿宋" w:hAnsi="仿宋" w:eastAsia="仿宋"/>
                <w:szCs w:val="21"/>
                <w:highlight w:val="none"/>
              </w:rPr>
              <w:t>约</w:t>
            </w:r>
            <w:r>
              <w:rPr>
                <w:rFonts w:ascii="仿宋" w:hAnsi="仿宋" w:eastAsia="仿宋"/>
                <w:szCs w:val="21"/>
                <w:highlight w:val="none"/>
              </w:rPr>
              <w:t>60</w:t>
            </w:r>
            <w:r>
              <w:rPr>
                <w:rFonts w:hint="eastAsia" w:ascii="微软雅黑" w:hAnsi="微软雅黑" w:eastAsia="微软雅黑" w:cs="微软雅黑"/>
                <w:szCs w:val="21"/>
                <w:highlight w:val="none"/>
              </w:rPr>
              <w:t>㎥</w:t>
            </w:r>
          </w:p>
          <w:p>
            <w:pPr>
              <w:widowControl/>
              <w:spacing w:line="240" w:lineRule="exact"/>
              <w:jc w:val="center"/>
              <w:rPr>
                <w:rFonts w:ascii="仿宋" w:hAnsi="仿宋" w:eastAsia="仿宋" w:cstheme="minorBidi"/>
                <w:szCs w:val="21"/>
                <w:highlight w:val="none"/>
              </w:rPr>
            </w:pPr>
            <w:r>
              <w:rPr>
                <w:rFonts w:hint="eastAsia" w:ascii="仿宋" w:hAnsi="仿宋" w:eastAsia="仿宋"/>
                <w:szCs w:val="21"/>
                <w:highlight w:val="none"/>
              </w:rPr>
              <w:t>/个</w:t>
            </w:r>
          </w:p>
        </w:tc>
        <w:tc>
          <w:tcPr>
            <w:tcW w:w="1750" w:type="dxa"/>
            <w:tcBorders>
              <w:tl2br w:val="nil"/>
              <w:tr2bl w:val="nil"/>
            </w:tcBorders>
            <w:shd w:val="clear" w:color="auto" w:fill="auto"/>
            <w:noWrap/>
            <w:vAlign w:val="center"/>
          </w:tcPr>
          <w:p>
            <w:pPr>
              <w:widowControl/>
              <w:spacing w:line="240" w:lineRule="exact"/>
              <w:jc w:val="center"/>
              <w:rPr>
                <w:rFonts w:ascii="仿宋" w:hAnsi="仿宋" w:eastAsia="仿宋" w:cstheme="minorBidi"/>
                <w:szCs w:val="21"/>
                <w:highlight w:val="none"/>
              </w:rPr>
            </w:pPr>
            <w:r>
              <w:rPr>
                <w:rFonts w:hint="eastAsia" w:ascii="仿宋" w:hAnsi="仿宋" w:eastAsia="仿宋"/>
                <w:szCs w:val="21"/>
                <w:highlight w:val="none"/>
              </w:rPr>
              <w:t>16</w:t>
            </w:r>
          </w:p>
        </w:tc>
        <w:tc>
          <w:tcPr>
            <w:tcW w:w="1613" w:type="dxa"/>
            <w:tcBorders>
              <w:tl2br w:val="nil"/>
              <w:tr2bl w:val="nil"/>
            </w:tcBorders>
            <w:shd w:val="clear" w:color="auto" w:fill="auto"/>
            <w:noWrap/>
            <w:vAlign w:val="center"/>
          </w:tcPr>
          <w:p>
            <w:pPr>
              <w:widowControl/>
              <w:spacing w:line="240" w:lineRule="exact"/>
              <w:jc w:val="center"/>
              <w:rPr>
                <w:rFonts w:ascii="仿宋" w:hAnsi="仿宋" w:eastAsia="仿宋" w:cstheme="minorBidi"/>
                <w:szCs w:val="21"/>
                <w:highlight w:val="none"/>
              </w:rPr>
            </w:pPr>
            <w:r>
              <w:rPr>
                <w:rFonts w:hint="eastAsia" w:ascii="仿宋" w:hAnsi="仿宋" w:eastAsia="仿宋"/>
                <w:szCs w:val="21"/>
                <w:highlight w:val="none"/>
              </w:rPr>
              <w:t>2</w:t>
            </w:r>
          </w:p>
        </w:tc>
        <w:tc>
          <w:tcPr>
            <w:tcW w:w="1452" w:type="dxa"/>
            <w:vMerge w:val="continue"/>
            <w:tcBorders>
              <w:tl2br w:val="nil"/>
              <w:tr2bl w:val="nil"/>
            </w:tcBorders>
            <w:shd w:val="clear" w:color="auto" w:fill="auto"/>
            <w:noWrap/>
            <w:vAlign w:val="center"/>
          </w:tcPr>
          <w:p>
            <w:pPr>
              <w:widowControl/>
              <w:spacing w:line="560" w:lineRule="exact"/>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488" w:type="dxa"/>
            <w:tcBorders>
              <w:tl2br w:val="nil"/>
              <w:tr2bl w:val="nil"/>
            </w:tcBorders>
            <w:shd w:val="clear" w:color="auto" w:fill="auto"/>
            <w:noWrap/>
            <w:vAlign w:val="center"/>
          </w:tcPr>
          <w:p>
            <w:pPr>
              <w:widowControl/>
              <w:spacing w:line="240" w:lineRule="exact"/>
              <w:jc w:val="center"/>
              <w:rPr>
                <w:rFonts w:ascii="仿宋" w:hAnsi="仿宋" w:eastAsia="仿宋"/>
                <w:szCs w:val="21"/>
                <w:highlight w:val="none"/>
              </w:rPr>
            </w:pPr>
            <w:r>
              <w:rPr>
                <w:rFonts w:hint="eastAsia" w:ascii="仿宋" w:hAnsi="仿宋" w:eastAsia="仿宋"/>
                <w:szCs w:val="21"/>
                <w:highlight w:val="none"/>
              </w:rPr>
              <w:t>武鸣东区</w:t>
            </w:r>
          </w:p>
          <w:p>
            <w:pPr>
              <w:widowControl/>
              <w:spacing w:line="240" w:lineRule="exact"/>
              <w:jc w:val="center"/>
              <w:rPr>
                <w:rFonts w:ascii="仿宋" w:hAnsi="仿宋" w:eastAsia="仿宋" w:cstheme="minorBidi"/>
                <w:szCs w:val="21"/>
                <w:highlight w:val="none"/>
              </w:rPr>
            </w:pPr>
            <w:r>
              <w:rPr>
                <w:rFonts w:hint="eastAsia" w:ascii="仿宋" w:hAnsi="仿宋" w:eastAsia="仿宋"/>
                <w:szCs w:val="21"/>
                <w:highlight w:val="none"/>
              </w:rPr>
              <w:t>地址：南宁市武鸣区城厢红岭大道588号</w:t>
            </w:r>
          </w:p>
        </w:tc>
        <w:tc>
          <w:tcPr>
            <w:tcW w:w="1633" w:type="dxa"/>
            <w:tcBorders>
              <w:tl2br w:val="nil"/>
              <w:tr2bl w:val="nil"/>
            </w:tcBorders>
            <w:shd w:val="clear" w:color="auto" w:fill="auto"/>
            <w:noWrap/>
            <w:vAlign w:val="center"/>
          </w:tcPr>
          <w:p>
            <w:pPr>
              <w:widowControl/>
              <w:spacing w:line="240" w:lineRule="exact"/>
              <w:jc w:val="center"/>
              <w:rPr>
                <w:rFonts w:ascii="仿宋" w:hAnsi="仿宋" w:eastAsia="仿宋" w:cstheme="minorBidi"/>
                <w:szCs w:val="21"/>
                <w:highlight w:val="none"/>
              </w:rPr>
            </w:pPr>
            <w:r>
              <w:rPr>
                <w:rFonts w:hint="eastAsia" w:ascii="仿宋" w:hAnsi="仿宋" w:eastAsia="仿宋"/>
                <w:szCs w:val="21"/>
                <w:highlight w:val="none"/>
              </w:rPr>
              <w:t>寒暑假各1次</w:t>
            </w:r>
          </w:p>
        </w:tc>
        <w:tc>
          <w:tcPr>
            <w:tcW w:w="1470" w:type="dxa"/>
            <w:tcBorders>
              <w:tl2br w:val="nil"/>
              <w:tr2bl w:val="nil"/>
            </w:tcBorders>
            <w:shd w:val="clear" w:color="auto" w:fill="auto"/>
            <w:noWrap/>
            <w:vAlign w:val="center"/>
          </w:tcPr>
          <w:p>
            <w:pPr>
              <w:widowControl/>
              <w:spacing w:line="240" w:lineRule="exact"/>
              <w:jc w:val="center"/>
              <w:rPr>
                <w:rFonts w:ascii="仿宋" w:hAnsi="仿宋" w:eastAsia="仿宋"/>
                <w:szCs w:val="21"/>
                <w:highlight w:val="none"/>
              </w:rPr>
            </w:pPr>
            <w:r>
              <w:rPr>
                <w:rFonts w:hint="eastAsia" w:ascii="仿宋" w:hAnsi="仿宋" w:eastAsia="仿宋"/>
                <w:szCs w:val="21"/>
                <w:highlight w:val="none"/>
              </w:rPr>
              <w:t>约</w:t>
            </w:r>
            <w:r>
              <w:rPr>
                <w:rFonts w:ascii="仿宋" w:hAnsi="仿宋" w:eastAsia="仿宋"/>
                <w:szCs w:val="21"/>
                <w:highlight w:val="none"/>
              </w:rPr>
              <w:t>100</w:t>
            </w:r>
            <w:r>
              <w:rPr>
                <w:rFonts w:hint="eastAsia" w:ascii="微软雅黑" w:hAnsi="微软雅黑" w:eastAsia="微软雅黑" w:cs="微软雅黑"/>
                <w:szCs w:val="21"/>
                <w:highlight w:val="none"/>
              </w:rPr>
              <w:t>㎥</w:t>
            </w:r>
          </w:p>
          <w:p>
            <w:pPr>
              <w:widowControl/>
              <w:spacing w:line="240" w:lineRule="exact"/>
              <w:jc w:val="center"/>
              <w:rPr>
                <w:rFonts w:ascii="仿宋" w:hAnsi="仿宋" w:eastAsia="仿宋" w:cstheme="minorBidi"/>
                <w:szCs w:val="21"/>
                <w:highlight w:val="none"/>
              </w:rPr>
            </w:pPr>
            <w:r>
              <w:rPr>
                <w:rFonts w:hint="eastAsia" w:ascii="仿宋" w:hAnsi="仿宋" w:eastAsia="仿宋"/>
                <w:szCs w:val="21"/>
                <w:highlight w:val="none"/>
              </w:rPr>
              <w:t>/个</w:t>
            </w:r>
          </w:p>
        </w:tc>
        <w:tc>
          <w:tcPr>
            <w:tcW w:w="1750" w:type="dxa"/>
            <w:tcBorders>
              <w:tl2br w:val="nil"/>
              <w:tr2bl w:val="nil"/>
            </w:tcBorders>
            <w:shd w:val="clear" w:color="auto" w:fill="auto"/>
            <w:noWrap/>
            <w:vAlign w:val="center"/>
          </w:tcPr>
          <w:p>
            <w:pPr>
              <w:widowControl/>
              <w:spacing w:line="240" w:lineRule="exact"/>
              <w:jc w:val="center"/>
              <w:rPr>
                <w:rFonts w:ascii="仿宋" w:hAnsi="仿宋" w:eastAsia="仿宋" w:cstheme="minorBidi"/>
                <w:szCs w:val="21"/>
                <w:highlight w:val="none"/>
              </w:rPr>
            </w:pPr>
            <w:r>
              <w:rPr>
                <w:rFonts w:hint="eastAsia" w:ascii="仿宋" w:hAnsi="仿宋" w:eastAsia="仿宋"/>
                <w:szCs w:val="21"/>
                <w:highlight w:val="none"/>
              </w:rPr>
              <w:t>11</w:t>
            </w:r>
          </w:p>
        </w:tc>
        <w:tc>
          <w:tcPr>
            <w:tcW w:w="1613" w:type="dxa"/>
            <w:tcBorders>
              <w:tl2br w:val="nil"/>
              <w:tr2bl w:val="nil"/>
            </w:tcBorders>
            <w:shd w:val="clear" w:color="auto" w:fill="auto"/>
            <w:noWrap/>
            <w:vAlign w:val="center"/>
          </w:tcPr>
          <w:p>
            <w:pPr>
              <w:widowControl/>
              <w:spacing w:line="240" w:lineRule="exact"/>
              <w:jc w:val="center"/>
              <w:rPr>
                <w:rFonts w:ascii="仿宋" w:hAnsi="仿宋" w:eastAsia="仿宋" w:cstheme="minorBidi"/>
                <w:szCs w:val="21"/>
                <w:highlight w:val="none"/>
              </w:rPr>
            </w:pPr>
            <w:r>
              <w:rPr>
                <w:rFonts w:hint="eastAsia" w:ascii="仿宋" w:hAnsi="仿宋" w:eastAsia="仿宋"/>
                <w:szCs w:val="21"/>
                <w:highlight w:val="none"/>
              </w:rPr>
              <w:t>2</w:t>
            </w:r>
          </w:p>
        </w:tc>
        <w:tc>
          <w:tcPr>
            <w:tcW w:w="1452" w:type="dxa"/>
            <w:vMerge w:val="continue"/>
            <w:tcBorders>
              <w:tl2br w:val="nil"/>
              <w:tr2bl w:val="nil"/>
            </w:tcBorders>
            <w:shd w:val="clear" w:color="auto" w:fill="auto"/>
            <w:noWrap/>
            <w:vAlign w:val="center"/>
          </w:tcPr>
          <w:p>
            <w:pPr>
              <w:widowControl/>
              <w:spacing w:line="560" w:lineRule="exact"/>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488" w:type="dxa"/>
            <w:tcBorders>
              <w:tl2br w:val="nil"/>
              <w:tr2bl w:val="nil"/>
            </w:tcBorders>
            <w:shd w:val="clear" w:color="auto" w:fill="auto"/>
            <w:noWrap/>
            <w:vAlign w:val="center"/>
          </w:tcPr>
          <w:p>
            <w:pPr>
              <w:widowControl/>
              <w:spacing w:line="240" w:lineRule="exact"/>
              <w:jc w:val="center"/>
              <w:rPr>
                <w:rFonts w:ascii="仿宋" w:hAnsi="仿宋" w:eastAsia="仿宋"/>
                <w:szCs w:val="21"/>
                <w:highlight w:val="none"/>
              </w:rPr>
            </w:pPr>
            <w:r>
              <w:rPr>
                <w:rFonts w:hint="eastAsia" w:ascii="仿宋" w:hAnsi="仿宋" w:eastAsia="仿宋"/>
                <w:szCs w:val="21"/>
                <w:highlight w:val="none"/>
              </w:rPr>
              <w:t>武鸣西区</w:t>
            </w:r>
          </w:p>
          <w:p>
            <w:pPr>
              <w:widowControl/>
              <w:spacing w:line="240" w:lineRule="exact"/>
              <w:jc w:val="center"/>
              <w:rPr>
                <w:rFonts w:ascii="仿宋" w:hAnsi="仿宋" w:eastAsia="仿宋"/>
                <w:szCs w:val="21"/>
                <w:highlight w:val="none"/>
              </w:rPr>
            </w:pPr>
            <w:r>
              <w:rPr>
                <w:rFonts w:hint="eastAsia" w:ascii="仿宋" w:hAnsi="仿宋" w:eastAsia="仿宋"/>
                <w:szCs w:val="21"/>
                <w:highlight w:val="none"/>
              </w:rPr>
              <w:t>地址：南宁市武鸣区城厢红岭大道</w:t>
            </w:r>
            <w:r>
              <w:rPr>
                <w:rFonts w:ascii="仿宋" w:hAnsi="仿宋" w:eastAsia="仿宋"/>
                <w:szCs w:val="21"/>
                <w:highlight w:val="none"/>
              </w:rPr>
              <w:t>588号</w:t>
            </w:r>
          </w:p>
        </w:tc>
        <w:tc>
          <w:tcPr>
            <w:tcW w:w="1633" w:type="dxa"/>
            <w:tcBorders>
              <w:tl2br w:val="nil"/>
              <w:tr2bl w:val="nil"/>
            </w:tcBorders>
            <w:shd w:val="clear" w:color="auto" w:fill="auto"/>
            <w:noWrap/>
            <w:vAlign w:val="center"/>
          </w:tcPr>
          <w:p>
            <w:pPr>
              <w:widowControl/>
              <w:spacing w:line="240" w:lineRule="exact"/>
              <w:jc w:val="center"/>
              <w:rPr>
                <w:rFonts w:ascii="仿宋" w:hAnsi="仿宋" w:eastAsia="仿宋"/>
                <w:szCs w:val="21"/>
                <w:highlight w:val="none"/>
              </w:rPr>
            </w:pPr>
            <w:r>
              <w:rPr>
                <w:rFonts w:hint="eastAsia" w:ascii="仿宋" w:hAnsi="仿宋" w:eastAsia="仿宋"/>
                <w:szCs w:val="21"/>
                <w:highlight w:val="none"/>
              </w:rPr>
              <w:t>寒假1次</w:t>
            </w:r>
          </w:p>
        </w:tc>
        <w:tc>
          <w:tcPr>
            <w:tcW w:w="1470" w:type="dxa"/>
            <w:tcBorders>
              <w:tl2br w:val="nil"/>
              <w:tr2bl w:val="nil"/>
            </w:tcBorders>
            <w:shd w:val="clear" w:color="auto" w:fill="auto"/>
            <w:noWrap/>
            <w:vAlign w:val="center"/>
          </w:tcPr>
          <w:p>
            <w:pPr>
              <w:widowControl/>
              <w:spacing w:line="240" w:lineRule="exact"/>
              <w:jc w:val="center"/>
              <w:rPr>
                <w:rFonts w:ascii="仿宋" w:hAnsi="仿宋" w:eastAsia="仿宋"/>
                <w:szCs w:val="21"/>
                <w:highlight w:val="none"/>
              </w:rPr>
            </w:pPr>
            <w:r>
              <w:rPr>
                <w:rFonts w:hint="eastAsia" w:ascii="仿宋" w:hAnsi="仿宋" w:eastAsia="仿宋"/>
                <w:szCs w:val="21"/>
                <w:highlight w:val="none"/>
              </w:rPr>
              <w:t>约</w:t>
            </w:r>
            <w:r>
              <w:rPr>
                <w:rFonts w:ascii="仿宋" w:hAnsi="仿宋" w:eastAsia="仿宋"/>
                <w:szCs w:val="21"/>
                <w:highlight w:val="none"/>
              </w:rPr>
              <w:t>100</w:t>
            </w:r>
            <w:r>
              <w:rPr>
                <w:rFonts w:hint="eastAsia" w:ascii="微软雅黑" w:hAnsi="微软雅黑" w:eastAsia="微软雅黑" w:cs="微软雅黑"/>
                <w:szCs w:val="21"/>
                <w:highlight w:val="none"/>
              </w:rPr>
              <w:t>㎥</w:t>
            </w:r>
          </w:p>
          <w:p>
            <w:pPr>
              <w:widowControl/>
              <w:spacing w:line="240" w:lineRule="exact"/>
              <w:jc w:val="center"/>
              <w:rPr>
                <w:rFonts w:ascii="仿宋" w:hAnsi="仿宋" w:eastAsia="仿宋"/>
                <w:szCs w:val="21"/>
                <w:highlight w:val="none"/>
              </w:rPr>
            </w:pPr>
            <w:r>
              <w:rPr>
                <w:rFonts w:hint="eastAsia" w:ascii="仿宋" w:hAnsi="仿宋" w:eastAsia="仿宋"/>
                <w:szCs w:val="21"/>
                <w:highlight w:val="none"/>
              </w:rPr>
              <w:t>/个</w:t>
            </w:r>
          </w:p>
        </w:tc>
        <w:tc>
          <w:tcPr>
            <w:tcW w:w="1750" w:type="dxa"/>
            <w:tcBorders>
              <w:tl2br w:val="nil"/>
              <w:tr2bl w:val="nil"/>
            </w:tcBorders>
            <w:shd w:val="clear" w:color="auto" w:fill="auto"/>
            <w:noWrap/>
            <w:vAlign w:val="center"/>
          </w:tcPr>
          <w:p>
            <w:pPr>
              <w:widowControl/>
              <w:spacing w:line="240" w:lineRule="exact"/>
              <w:jc w:val="center"/>
              <w:rPr>
                <w:rFonts w:ascii="仿宋" w:hAnsi="仿宋" w:eastAsia="仿宋"/>
                <w:szCs w:val="21"/>
                <w:highlight w:val="none"/>
              </w:rPr>
            </w:pPr>
            <w:r>
              <w:rPr>
                <w:rFonts w:hint="eastAsia" w:ascii="仿宋" w:hAnsi="仿宋" w:eastAsia="仿宋"/>
                <w:szCs w:val="21"/>
                <w:highlight w:val="none"/>
              </w:rPr>
              <w:t>9</w:t>
            </w:r>
          </w:p>
        </w:tc>
        <w:tc>
          <w:tcPr>
            <w:tcW w:w="1613" w:type="dxa"/>
            <w:tcBorders>
              <w:tl2br w:val="nil"/>
              <w:tr2bl w:val="nil"/>
            </w:tcBorders>
            <w:shd w:val="clear" w:color="auto" w:fill="auto"/>
            <w:noWrap/>
            <w:vAlign w:val="center"/>
          </w:tcPr>
          <w:p>
            <w:pPr>
              <w:widowControl/>
              <w:spacing w:line="240" w:lineRule="exact"/>
              <w:jc w:val="center"/>
              <w:rPr>
                <w:rFonts w:ascii="仿宋" w:hAnsi="仿宋" w:eastAsia="仿宋"/>
                <w:szCs w:val="21"/>
                <w:highlight w:val="none"/>
              </w:rPr>
            </w:pPr>
            <w:r>
              <w:rPr>
                <w:rFonts w:hint="eastAsia" w:ascii="仿宋" w:hAnsi="仿宋" w:eastAsia="仿宋"/>
                <w:szCs w:val="21"/>
                <w:highlight w:val="none"/>
              </w:rPr>
              <w:t>1</w:t>
            </w:r>
          </w:p>
        </w:tc>
        <w:tc>
          <w:tcPr>
            <w:tcW w:w="1452" w:type="dxa"/>
            <w:vMerge w:val="continue"/>
            <w:tcBorders>
              <w:tl2br w:val="nil"/>
              <w:tr2bl w:val="nil"/>
            </w:tcBorders>
            <w:shd w:val="clear" w:color="auto" w:fill="auto"/>
            <w:noWrap/>
            <w:vAlign w:val="center"/>
          </w:tcPr>
          <w:p>
            <w:pPr>
              <w:widowControl/>
              <w:spacing w:line="560" w:lineRule="exact"/>
              <w:jc w:val="center"/>
              <w:rPr>
                <w:rFonts w:ascii="仿宋" w:hAnsi="仿宋" w:eastAsia="仿宋"/>
                <w:szCs w:val="21"/>
                <w:highlight w:val="none"/>
              </w:rPr>
            </w:pPr>
          </w:p>
        </w:tc>
      </w:tr>
    </w:tbl>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定期对鹏飞、中尧、武鸣校区学生公寓、公共区域化粪池进行清理。具体如下：</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2、服务时间：一年（即从202</w:t>
      </w:r>
      <w:r>
        <w:rPr>
          <w:rFonts w:ascii="宋体" w:hAnsi="宋体" w:cs="宋体"/>
          <w:szCs w:val="21"/>
          <w:highlight w:val="none"/>
        </w:rPr>
        <w:t>3</w:t>
      </w:r>
      <w:r>
        <w:rPr>
          <w:rFonts w:hint="eastAsia" w:ascii="宋体" w:hAnsi="宋体" w:cs="宋体"/>
          <w:szCs w:val="21"/>
          <w:highlight w:val="none"/>
        </w:rPr>
        <w:t>年</w:t>
      </w:r>
      <w:r>
        <w:rPr>
          <w:rFonts w:ascii="宋体" w:hAnsi="宋体" w:cs="宋体"/>
          <w:szCs w:val="21"/>
          <w:highlight w:val="none"/>
        </w:rPr>
        <w:t>8</w:t>
      </w:r>
      <w:r>
        <w:rPr>
          <w:rFonts w:hint="eastAsia" w:ascii="宋体" w:hAnsi="宋体" w:cs="宋体"/>
          <w:szCs w:val="21"/>
          <w:highlight w:val="none"/>
        </w:rPr>
        <w:t>月至202</w:t>
      </w:r>
      <w:r>
        <w:rPr>
          <w:rFonts w:ascii="宋体" w:hAnsi="宋体" w:cs="宋体"/>
          <w:szCs w:val="21"/>
          <w:highlight w:val="none"/>
        </w:rPr>
        <w:t>4</w:t>
      </w:r>
      <w:r>
        <w:rPr>
          <w:rFonts w:hint="eastAsia" w:ascii="宋体" w:hAnsi="宋体" w:cs="宋体"/>
          <w:szCs w:val="21"/>
          <w:highlight w:val="none"/>
        </w:rPr>
        <w:t>年8月）以具体签订合同时间为准。</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3、合同合计金额包括材料、人工、保险、税金、培训、售后等一切税金和费用。如招投标文件对其另有规定的，从其规定。</w:t>
      </w:r>
    </w:p>
    <w:p>
      <w:pPr>
        <w:snapToGrid w:val="0"/>
        <w:spacing w:line="460" w:lineRule="exact"/>
        <w:ind w:firstLine="422" w:firstLineChars="200"/>
        <w:rPr>
          <w:rFonts w:ascii="宋体" w:hAnsi="宋体" w:cs="宋体"/>
          <w:b/>
          <w:szCs w:val="21"/>
          <w:highlight w:val="none"/>
        </w:rPr>
      </w:pPr>
      <w:r>
        <w:rPr>
          <w:rFonts w:hint="eastAsia" w:ascii="宋体" w:hAnsi="宋体" w:cs="宋体"/>
          <w:b/>
          <w:szCs w:val="21"/>
          <w:highlight w:val="none"/>
        </w:rPr>
        <w:t>第二条  质量保证</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1、乙方所提供的服务内容必须与招投标文件和承诺相一致。</w:t>
      </w:r>
    </w:p>
    <w:p>
      <w:pPr>
        <w:snapToGrid w:val="0"/>
        <w:spacing w:line="460" w:lineRule="exact"/>
        <w:ind w:firstLine="422" w:firstLineChars="200"/>
        <w:rPr>
          <w:rFonts w:ascii="宋体" w:hAnsi="宋体" w:cs="宋体"/>
          <w:b/>
          <w:szCs w:val="21"/>
          <w:highlight w:val="none"/>
        </w:rPr>
      </w:pPr>
      <w:r>
        <w:rPr>
          <w:rFonts w:hint="eastAsia" w:ascii="宋体" w:hAnsi="宋体" w:cs="宋体"/>
          <w:b/>
          <w:szCs w:val="21"/>
          <w:highlight w:val="none"/>
        </w:rPr>
        <w:t>第三条  权力保证</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1、乙方应保证所提供服务在使用时不会侵犯任何第三方的专利权、商标权、工业设计权或其他权利。</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2、乙方应按招标文件（采购文件）规定的时间向甲方提供服务的有关技术资料。</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有泄漏，乙方需承担相应的法律责任。</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4、乙方保证所交付的服务的所有权完全属于乙方且无任何抵押、质押、查封等产权瑕疵。</w:t>
      </w:r>
    </w:p>
    <w:p>
      <w:pPr>
        <w:snapToGrid w:val="0"/>
        <w:spacing w:line="460" w:lineRule="exact"/>
        <w:ind w:firstLine="420" w:firstLineChars="200"/>
        <w:rPr>
          <w:rFonts w:ascii="宋体" w:hAnsi="宋体" w:cs="宋体"/>
          <w:strike/>
          <w:szCs w:val="21"/>
          <w:highlight w:val="none"/>
        </w:rPr>
      </w:pPr>
      <w:r>
        <w:rPr>
          <w:rFonts w:hint="eastAsia" w:ascii="宋体" w:hAnsi="宋体" w:cs="宋体"/>
          <w:szCs w:val="21"/>
          <w:highlight w:val="none"/>
        </w:rPr>
        <w:t>5、甲方负责巡逻工具装备及相关维修费用。</w:t>
      </w:r>
    </w:p>
    <w:p>
      <w:pPr>
        <w:snapToGrid w:val="0"/>
        <w:spacing w:line="460" w:lineRule="exact"/>
        <w:ind w:firstLine="422" w:firstLineChars="200"/>
        <w:rPr>
          <w:rFonts w:ascii="宋体" w:hAnsi="宋体" w:cs="宋体"/>
          <w:b/>
          <w:szCs w:val="21"/>
          <w:highlight w:val="none"/>
        </w:rPr>
      </w:pPr>
      <w:r>
        <w:rPr>
          <w:rFonts w:hint="eastAsia" w:ascii="宋体" w:hAnsi="宋体" w:cs="宋体"/>
          <w:b/>
          <w:szCs w:val="21"/>
          <w:highlight w:val="none"/>
        </w:rPr>
        <w:t>第四条  指导和培训</w:t>
      </w:r>
    </w:p>
    <w:p>
      <w:pPr>
        <w:snapToGrid w:val="0"/>
        <w:spacing w:line="460" w:lineRule="exact"/>
        <w:ind w:firstLine="420" w:firstLineChars="200"/>
        <w:rPr>
          <w:rFonts w:ascii="宋体" w:hAnsi="宋体" w:cs="宋体"/>
          <w:szCs w:val="21"/>
          <w:highlight w:val="none"/>
          <w:u w:val="single"/>
        </w:rPr>
      </w:pPr>
      <w:r>
        <w:rPr>
          <w:rFonts w:hint="eastAsia" w:ascii="宋体" w:hAnsi="宋体" w:cs="宋体"/>
          <w:szCs w:val="21"/>
          <w:highlight w:val="none"/>
        </w:rPr>
        <w:t>1、甲方应提供必要条件（如场地、电源、水源等）：</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2、乙方负责甲方有关人员的培训。培训时间、地点： 签订合同后；地点：</w:t>
      </w:r>
      <w:r>
        <w:rPr>
          <w:rFonts w:hint="eastAsia" w:ascii="宋体" w:hAnsi="宋体" w:cs="宋体"/>
          <w:szCs w:val="21"/>
          <w:highlight w:val="none"/>
          <w:u w:val="single"/>
        </w:rPr>
        <w:t>甲方指定地点 。</w:t>
      </w:r>
    </w:p>
    <w:p>
      <w:pPr>
        <w:snapToGrid w:val="0"/>
        <w:spacing w:line="460" w:lineRule="exact"/>
        <w:ind w:firstLine="422" w:firstLineChars="200"/>
        <w:rPr>
          <w:rFonts w:ascii="宋体" w:hAnsi="宋体" w:cs="宋体"/>
          <w:b/>
          <w:szCs w:val="21"/>
          <w:highlight w:val="none"/>
        </w:rPr>
      </w:pPr>
      <w:r>
        <w:rPr>
          <w:rFonts w:hint="eastAsia" w:ascii="宋体" w:hAnsi="宋体" w:cs="宋体"/>
          <w:b/>
          <w:szCs w:val="21"/>
          <w:highlight w:val="none"/>
        </w:rPr>
        <w:t>第五条  售后服务、保修期</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1、乙方应按照国家有关法律法规和“三包”规定以及招投标文件，为甲方提供售后服务。</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2、乙方提供的服务承诺和售后服务及保修期责任等其它具体约定事项。</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3、乙方在合同期内免费提供6次疏通服务（“1次”指的是以同一楼栋为单位的同一地点，不论疏通的管道的数量及疏通的方式，确保被堵塞的管道疏通）。</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4、集中抽污工作周期：乙方需在接到学院通知后10天内清理完毕。</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5、响应要求：如发生管道堵塞，乙方在接到甲方通知后须在限定时间内（中尧、鹏飞校区4小时，武鸣校区6小时）抵达事故现场开展工作，并承诺在抵达现场后12小时内解决问题。</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6、乙方在工作期间应遵守学院的规章制度，服从学校管理，做到安全、文明施工。</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7、乙方在工作过程中应注意现场卫生环境的整洁，如造成甲方校园路面有污水或脏物的，乙方应及时冲洗干净。</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8、乙方在工作过程中发生的安全事故由其自行承担全部责任。</w:t>
      </w:r>
    </w:p>
    <w:p>
      <w:pPr>
        <w:snapToGrid w:val="0"/>
        <w:spacing w:line="460" w:lineRule="exact"/>
        <w:ind w:firstLine="422" w:firstLineChars="200"/>
        <w:rPr>
          <w:rFonts w:ascii="宋体" w:hAnsi="宋体" w:cs="宋体"/>
          <w:b/>
          <w:szCs w:val="21"/>
          <w:highlight w:val="none"/>
        </w:rPr>
      </w:pPr>
      <w:r>
        <w:rPr>
          <w:rFonts w:hint="eastAsia" w:ascii="宋体" w:hAnsi="宋体" w:cs="宋体"/>
          <w:b/>
          <w:szCs w:val="21"/>
          <w:highlight w:val="none"/>
        </w:rPr>
        <w:t>第六条　付款方式</w:t>
      </w:r>
    </w:p>
    <w:p>
      <w:pPr>
        <w:snapToGrid w:val="0"/>
        <w:spacing w:line="460" w:lineRule="exact"/>
        <w:ind w:firstLine="480" w:firstLineChars="200"/>
        <w:rPr>
          <w:rFonts w:ascii="宋体" w:hAnsi="宋体" w:cs="宋体"/>
          <w:szCs w:val="21"/>
          <w:highlight w:val="none"/>
        </w:rPr>
      </w:pPr>
      <w:r>
        <w:rPr>
          <w:rFonts w:hint="eastAsia" w:ascii="宋体" w:hAnsi="宋体" w:cs="宋体"/>
          <w:sz w:val="24"/>
          <w:highlight w:val="none"/>
        </w:rPr>
        <w:t>1、履约保证金：乙方按合同金额的2%支付履约保证金，合同期内无违约情况的，合同期满后无息全额退还。</w:t>
      </w:r>
    </w:p>
    <w:p>
      <w:pPr>
        <w:snapToGrid w:val="0"/>
        <w:spacing w:line="460" w:lineRule="exact"/>
        <w:ind w:firstLine="420" w:firstLineChars="200"/>
        <w:rPr>
          <w:rFonts w:ascii="宋体" w:hAnsi="宋体" w:cs="宋体"/>
          <w:szCs w:val="21"/>
          <w:highlight w:val="none"/>
          <w:u w:val="single"/>
        </w:rPr>
      </w:pPr>
      <w:r>
        <w:rPr>
          <w:rFonts w:hint="eastAsia" w:ascii="宋体" w:hAnsi="宋体" w:cs="宋体"/>
          <w:szCs w:val="21"/>
          <w:highlight w:val="none"/>
        </w:rPr>
        <w:t>2、付款方式：</w:t>
      </w:r>
      <w:r>
        <w:rPr>
          <w:rFonts w:hint="eastAsia" w:ascii="宋体" w:hAnsi="宋体" w:cs="宋体"/>
          <w:szCs w:val="21"/>
          <w:highlight w:val="none"/>
          <w:u w:val="single"/>
        </w:rPr>
        <w:t xml:space="preserve">按合同金额分两期支付，每清理完毕一次，经甲方相关工作人员验收合格后，甲方按合同金额的50%支付。每次支付款项前，乙方需开具结算等额、合法、有效的税务发票，并提供与合同公司名称一致的银行对公账户。  </w:t>
      </w:r>
    </w:p>
    <w:p>
      <w:pPr>
        <w:snapToGrid w:val="0"/>
        <w:spacing w:line="460" w:lineRule="exact"/>
        <w:ind w:firstLine="422" w:firstLineChars="200"/>
        <w:rPr>
          <w:rFonts w:ascii="宋体" w:hAnsi="宋体" w:cs="宋体"/>
          <w:b/>
          <w:szCs w:val="21"/>
          <w:highlight w:val="none"/>
        </w:rPr>
      </w:pPr>
      <w:r>
        <w:rPr>
          <w:rFonts w:hint="eastAsia" w:ascii="宋体" w:hAnsi="宋体" w:cs="宋体"/>
          <w:b/>
          <w:szCs w:val="21"/>
          <w:highlight w:val="none"/>
        </w:rPr>
        <w:t>第七条  本合同执行中相关的一切税费均由乙方负担。</w:t>
      </w:r>
    </w:p>
    <w:p>
      <w:pPr>
        <w:snapToGrid w:val="0"/>
        <w:spacing w:line="460" w:lineRule="exact"/>
        <w:ind w:firstLine="422" w:firstLineChars="200"/>
        <w:rPr>
          <w:rFonts w:ascii="宋体" w:hAnsi="宋体" w:cs="宋体"/>
          <w:b/>
          <w:szCs w:val="21"/>
          <w:highlight w:val="none"/>
        </w:rPr>
      </w:pPr>
      <w:r>
        <w:rPr>
          <w:rFonts w:hint="eastAsia" w:ascii="宋体" w:hAnsi="宋体" w:cs="宋体"/>
          <w:b/>
          <w:szCs w:val="21"/>
          <w:highlight w:val="none"/>
        </w:rPr>
        <w:t>第八条　违约责任</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1、验收不通过的必须无条件返工，经两次验收仍不通过的，甲方有权扣减全部履约保证金并终止合同，不再支付任何费用；</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2、乙方没有在规定时间内响应的，每次扣减履约保证金1000元，当履约保证金为0时，甲方有权终止合同，不再支付任何费用；</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3、乙方没有在规定时间内解决问题的，甲方有权扣减全部履约保证金并终止合同，不再支付任何费用；</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4、乙方不按时限完成工作，每逾期一天，减少项目总金额的千分之二；逾期5天不完成工作的，甲方有权扣减全部履约保证金并终止合同，不再支付任何费用；</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5、乙方因弄虚作假，虚报工作成果，或违规在校内倾倒的，甲方有权扣减全部履约保证金并终止合同，不再支付任何费用；</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6、除上述外，因乙方违约造成甲方经济损失的，甲方有权追偿。</w:t>
      </w:r>
    </w:p>
    <w:p>
      <w:pPr>
        <w:snapToGrid w:val="0"/>
        <w:spacing w:line="460" w:lineRule="exact"/>
        <w:ind w:firstLine="422" w:firstLineChars="200"/>
        <w:rPr>
          <w:rFonts w:ascii="宋体" w:hAnsi="宋体" w:cs="宋体"/>
          <w:b/>
          <w:szCs w:val="21"/>
          <w:highlight w:val="none"/>
        </w:rPr>
      </w:pPr>
      <w:r>
        <w:rPr>
          <w:rFonts w:hint="eastAsia" w:ascii="宋体" w:hAnsi="宋体" w:cs="宋体"/>
          <w:b/>
          <w:szCs w:val="21"/>
          <w:highlight w:val="none"/>
        </w:rPr>
        <w:t>第九条  不可抗力事件处理</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1、在合同有效期内，任何一方因不可抗力事件导致不能履行合同，则合同履行期可延长，其延长期与不可抗力影响期相同。</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2、不可抗力事件发生后，应立即通知对方，并寄送有关权威机构出具的证明。</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3、不可抗力事件延续120天以上，双方应通过友好协商，确定是否继续履行合同。</w:t>
      </w:r>
    </w:p>
    <w:p>
      <w:pPr>
        <w:snapToGrid w:val="0"/>
        <w:spacing w:line="460" w:lineRule="exact"/>
        <w:ind w:firstLine="422" w:firstLineChars="200"/>
        <w:rPr>
          <w:rFonts w:ascii="宋体" w:hAnsi="宋体" w:cs="宋体"/>
          <w:b/>
          <w:szCs w:val="21"/>
          <w:highlight w:val="none"/>
        </w:rPr>
      </w:pPr>
      <w:r>
        <w:rPr>
          <w:rFonts w:hint="eastAsia" w:ascii="宋体" w:hAnsi="宋体" w:cs="宋体"/>
          <w:b/>
          <w:szCs w:val="21"/>
          <w:highlight w:val="none"/>
        </w:rPr>
        <w:t>第十条  合同争议解决</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1、因履行本合同引起的或与本合同有关的争议，甲乙双方应首先通过友好协商解决，如果协商不能解决，可向仲裁委员会申请仲裁或向人民法院提起诉讼。</w:t>
      </w:r>
    </w:p>
    <w:p>
      <w:pPr>
        <w:snapToGrid w:val="0"/>
        <w:spacing w:line="460" w:lineRule="exact"/>
        <w:ind w:firstLine="420" w:firstLineChars="200"/>
        <w:rPr>
          <w:rFonts w:ascii="宋体" w:hAnsi="宋体" w:cs="宋体"/>
          <w:szCs w:val="21"/>
          <w:highlight w:val="none"/>
        </w:rPr>
      </w:pPr>
      <w:r>
        <w:rPr>
          <w:rFonts w:hint="eastAsia" w:ascii="宋体" w:hAnsi="宋体" w:cs="宋体"/>
          <w:szCs w:val="21"/>
          <w:highlight w:val="none"/>
        </w:rPr>
        <w:t>2、诉讼期间，本合同继续履行。</w:t>
      </w:r>
    </w:p>
    <w:p>
      <w:pPr>
        <w:snapToGrid w:val="0"/>
        <w:spacing w:line="460" w:lineRule="exact"/>
        <w:ind w:firstLine="422" w:firstLineChars="200"/>
        <w:rPr>
          <w:rFonts w:ascii="宋体" w:hAnsi="宋体" w:cs="宋体"/>
          <w:b/>
          <w:szCs w:val="21"/>
          <w:highlight w:val="none"/>
        </w:rPr>
      </w:pPr>
      <w:r>
        <w:rPr>
          <w:rFonts w:hint="eastAsia" w:ascii="宋体" w:hAnsi="宋体" w:cs="宋体"/>
          <w:b/>
          <w:szCs w:val="21"/>
          <w:highlight w:val="none"/>
        </w:rPr>
        <w:t>第十一条  诉讼</w:t>
      </w:r>
    </w:p>
    <w:p>
      <w:pPr>
        <w:snapToGrid w:val="0"/>
        <w:spacing w:line="460" w:lineRule="exact"/>
        <w:ind w:firstLine="420" w:firstLineChars="200"/>
        <w:rPr>
          <w:rFonts w:ascii="宋体" w:hAnsi="宋体" w:cs="宋体"/>
          <w:szCs w:val="21"/>
        </w:rPr>
      </w:pPr>
      <w:r>
        <w:rPr>
          <w:rFonts w:hint="eastAsia" w:ascii="宋体" w:hAnsi="宋体" w:cs="宋体"/>
          <w:szCs w:val="21"/>
          <w:highlight w:val="none"/>
        </w:rPr>
        <w:t>双方在执行合同中所发生的一切争议，应通过</w:t>
      </w:r>
      <w:r>
        <w:rPr>
          <w:rFonts w:hint="eastAsia" w:ascii="宋体" w:hAnsi="宋体" w:cs="宋体"/>
          <w:szCs w:val="21"/>
        </w:rPr>
        <w:t>协商解决。如果协商不能解决，可向仲裁委员会申请仲裁或向人民法院提起诉讼。</w:t>
      </w:r>
    </w:p>
    <w:p>
      <w:pPr>
        <w:snapToGrid w:val="0"/>
        <w:spacing w:line="460" w:lineRule="exact"/>
        <w:ind w:firstLine="422" w:firstLineChars="200"/>
        <w:rPr>
          <w:rFonts w:ascii="宋体" w:hAnsi="宋体" w:cs="宋体"/>
          <w:b/>
          <w:szCs w:val="21"/>
        </w:rPr>
      </w:pPr>
      <w:r>
        <w:rPr>
          <w:rFonts w:hint="eastAsia" w:ascii="宋体" w:hAnsi="宋体" w:cs="宋体"/>
          <w:b/>
          <w:szCs w:val="21"/>
        </w:rPr>
        <w:t>第十二条  合同生效及其它</w:t>
      </w:r>
    </w:p>
    <w:p>
      <w:pPr>
        <w:snapToGrid w:val="0"/>
        <w:spacing w:line="460" w:lineRule="exact"/>
        <w:ind w:firstLine="420" w:firstLineChars="200"/>
        <w:rPr>
          <w:rFonts w:ascii="宋体" w:hAnsi="宋体" w:cs="宋体"/>
          <w:szCs w:val="21"/>
        </w:rPr>
      </w:pPr>
      <w:r>
        <w:rPr>
          <w:rFonts w:hint="eastAsia" w:ascii="宋体" w:hAnsi="宋体" w:cs="宋体"/>
          <w:szCs w:val="21"/>
        </w:rPr>
        <w:t>1、合同经双方法定代表人或授权代表签字并加盖单位公章后生效。</w:t>
      </w:r>
    </w:p>
    <w:p>
      <w:pPr>
        <w:snapToGrid w:val="0"/>
        <w:spacing w:line="460" w:lineRule="exact"/>
        <w:ind w:firstLine="420" w:firstLineChars="200"/>
        <w:rPr>
          <w:rFonts w:ascii="宋体" w:hAnsi="宋体" w:cs="宋体"/>
          <w:szCs w:val="21"/>
        </w:rPr>
      </w:pPr>
      <w:r>
        <w:rPr>
          <w:rFonts w:hint="eastAsia" w:ascii="宋体" w:hAnsi="宋体" w:cs="宋体"/>
          <w:szCs w:val="21"/>
        </w:rPr>
        <w:t>2、合同执行中涉及采购资金和采购内容修改或补充的，须经相关部门审批，并签书面补充协议报相关部门备案，方可作为主合同不可分割的一部分。</w:t>
      </w:r>
    </w:p>
    <w:p>
      <w:pPr>
        <w:snapToGrid w:val="0"/>
        <w:spacing w:line="460" w:lineRule="exact"/>
        <w:ind w:firstLine="420" w:firstLineChars="200"/>
        <w:rPr>
          <w:rFonts w:ascii="宋体" w:hAnsi="宋体" w:cs="宋体"/>
          <w:szCs w:val="21"/>
        </w:rPr>
      </w:pPr>
      <w:r>
        <w:rPr>
          <w:rFonts w:hint="eastAsia" w:ascii="宋体" w:hAnsi="宋体" w:cs="宋体"/>
          <w:szCs w:val="21"/>
        </w:rPr>
        <w:t>3、本合同未尽事宜，遵照《民法典》有关条文执行。</w:t>
      </w:r>
    </w:p>
    <w:p>
      <w:pPr>
        <w:snapToGrid w:val="0"/>
        <w:spacing w:line="460" w:lineRule="exact"/>
        <w:ind w:firstLine="422" w:firstLineChars="200"/>
        <w:rPr>
          <w:rFonts w:ascii="宋体" w:hAnsi="宋体" w:cs="宋体"/>
          <w:b/>
          <w:szCs w:val="21"/>
        </w:rPr>
      </w:pPr>
      <w:r>
        <w:rPr>
          <w:rFonts w:hint="eastAsia" w:ascii="宋体" w:hAnsi="宋体" w:cs="宋体"/>
          <w:b/>
          <w:szCs w:val="21"/>
        </w:rPr>
        <w:t>第十三条　合同的变更、终止与转让</w:t>
      </w:r>
    </w:p>
    <w:p>
      <w:pPr>
        <w:snapToGrid w:val="0"/>
        <w:spacing w:line="460" w:lineRule="exact"/>
        <w:ind w:firstLine="420" w:firstLineChars="200"/>
        <w:rPr>
          <w:rFonts w:ascii="宋体" w:hAnsi="宋体" w:cs="宋体"/>
          <w:szCs w:val="21"/>
        </w:rPr>
      </w:pPr>
      <w:r>
        <w:rPr>
          <w:rFonts w:hint="eastAsia" w:ascii="宋体" w:hAnsi="宋体" w:cs="宋体"/>
          <w:szCs w:val="21"/>
        </w:rPr>
        <w:t>1、本合同一经签订，甲乙双方不得擅自变更、中止或终止。</w:t>
      </w:r>
    </w:p>
    <w:p>
      <w:pPr>
        <w:snapToGrid w:val="0"/>
        <w:spacing w:line="460" w:lineRule="exact"/>
        <w:ind w:firstLine="420" w:firstLineChars="200"/>
        <w:rPr>
          <w:rFonts w:ascii="宋体" w:hAnsi="宋体" w:cs="宋体"/>
          <w:szCs w:val="21"/>
        </w:rPr>
      </w:pPr>
      <w:r>
        <w:rPr>
          <w:rFonts w:hint="eastAsia" w:ascii="宋体" w:hAnsi="宋体" w:cs="宋体"/>
          <w:szCs w:val="21"/>
        </w:rPr>
        <w:t>2、乙方不得擅自转让其应履行的合同义务。</w:t>
      </w:r>
    </w:p>
    <w:p>
      <w:pPr>
        <w:snapToGrid w:val="0"/>
        <w:spacing w:line="460" w:lineRule="exact"/>
        <w:ind w:firstLine="422" w:firstLineChars="200"/>
        <w:rPr>
          <w:rFonts w:ascii="宋体" w:hAnsi="宋体" w:cs="宋体"/>
          <w:b/>
          <w:szCs w:val="21"/>
        </w:rPr>
      </w:pPr>
      <w:r>
        <w:rPr>
          <w:rFonts w:hint="eastAsia" w:ascii="宋体" w:hAnsi="宋体" w:cs="宋体"/>
          <w:b/>
          <w:szCs w:val="21"/>
        </w:rPr>
        <w:t>第十四条　签订本合同依据</w:t>
      </w:r>
    </w:p>
    <w:p>
      <w:pPr>
        <w:snapToGrid w:val="0"/>
        <w:spacing w:line="460" w:lineRule="exact"/>
        <w:ind w:firstLine="420" w:firstLineChars="200"/>
        <w:rPr>
          <w:rFonts w:ascii="宋体" w:hAnsi="宋体" w:cs="宋体"/>
          <w:szCs w:val="21"/>
        </w:rPr>
      </w:pPr>
      <w:r>
        <w:rPr>
          <w:rFonts w:hint="eastAsia" w:ascii="宋体" w:hAnsi="宋体" w:cs="宋体"/>
          <w:szCs w:val="21"/>
        </w:rPr>
        <w:t>1、竞争性磋商文件；</w:t>
      </w:r>
    </w:p>
    <w:p>
      <w:pPr>
        <w:snapToGrid w:val="0"/>
        <w:spacing w:line="460" w:lineRule="exact"/>
        <w:ind w:firstLine="420" w:firstLineChars="200"/>
        <w:rPr>
          <w:rFonts w:ascii="宋体" w:hAnsi="宋体" w:cs="宋体"/>
          <w:szCs w:val="21"/>
        </w:rPr>
      </w:pPr>
      <w:r>
        <w:rPr>
          <w:rFonts w:hint="eastAsia" w:ascii="宋体" w:hAnsi="宋体" w:cs="宋体"/>
          <w:szCs w:val="21"/>
        </w:rPr>
        <w:t>2、乙方提供的投标（响应）文件；</w:t>
      </w:r>
    </w:p>
    <w:p>
      <w:pPr>
        <w:snapToGrid w:val="0"/>
        <w:spacing w:line="460" w:lineRule="exact"/>
        <w:ind w:firstLine="420" w:firstLineChars="200"/>
        <w:rPr>
          <w:rFonts w:ascii="宋体" w:hAnsi="宋体" w:cs="宋体"/>
          <w:szCs w:val="21"/>
        </w:rPr>
      </w:pPr>
      <w:r>
        <w:rPr>
          <w:rFonts w:hint="eastAsia" w:ascii="宋体" w:hAnsi="宋体" w:cs="宋体"/>
          <w:szCs w:val="21"/>
        </w:rPr>
        <w:t>3、投标</w:t>
      </w:r>
      <w:r>
        <w:rPr>
          <w:rStyle w:val="22"/>
          <w:rFonts w:hint="eastAsia"/>
        </w:rPr>
        <w:t>（响应）</w:t>
      </w:r>
      <w:r>
        <w:rPr>
          <w:rFonts w:hint="eastAsia" w:ascii="宋体" w:hAnsi="宋体" w:cs="宋体"/>
          <w:szCs w:val="21"/>
        </w:rPr>
        <w:t>承诺书；</w:t>
      </w:r>
    </w:p>
    <w:p>
      <w:pPr>
        <w:snapToGrid w:val="0"/>
        <w:spacing w:line="460" w:lineRule="exact"/>
        <w:ind w:firstLine="420" w:firstLineChars="200"/>
        <w:rPr>
          <w:rFonts w:ascii="宋体" w:hAnsi="宋体" w:cs="宋体"/>
          <w:szCs w:val="21"/>
        </w:rPr>
      </w:pPr>
      <w:r>
        <w:rPr>
          <w:rFonts w:hint="eastAsia" w:ascii="宋体" w:hAnsi="宋体" w:cs="宋体"/>
          <w:szCs w:val="21"/>
        </w:rPr>
        <w:t>4、成交通知书。</w:t>
      </w:r>
    </w:p>
    <w:p>
      <w:pPr>
        <w:snapToGrid w:val="0"/>
        <w:spacing w:line="460" w:lineRule="exact"/>
        <w:ind w:firstLine="422" w:firstLineChars="200"/>
        <w:rPr>
          <w:rFonts w:ascii="宋体" w:hAnsi="宋体" w:cs="宋体"/>
          <w:b/>
          <w:szCs w:val="21"/>
        </w:rPr>
      </w:pPr>
      <w:r>
        <w:rPr>
          <w:rFonts w:hint="eastAsia" w:ascii="宋体" w:hAnsi="宋体" w:cs="宋体"/>
          <w:b/>
          <w:szCs w:val="21"/>
        </w:rPr>
        <w:t>第十五条　本合同一式</w:t>
      </w:r>
      <w:r>
        <w:rPr>
          <w:rFonts w:hint="eastAsia" w:ascii="宋体" w:hAnsi="宋体" w:cs="宋体"/>
          <w:b/>
          <w:szCs w:val="21"/>
          <w:highlight w:val="yellow"/>
        </w:rPr>
        <w:t>柒</w:t>
      </w:r>
      <w:r>
        <w:rPr>
          <w:rFonts w:hint="eastAsia" w:ascii="宋体" w:hAnsi="宋体" w:cs="宋体"/>
          <w:b/>
          <w:szCs w:val="21"/>
        </w:rPr>
        <w:t>份，具有同等法律效力，甲方执</w:t>
      </w:r>
      <w:r>
        <w:rPr>
          <w:rFonts w:hint="eastAsia" w:ascii="宋体" w:hAnsi="宋体" w:cs="宋体"/>
          <w:b/>
          <w:szCs w:val="21"/>
          <w:highlight w:val="yellow"/>
        </w:rPr>
        <w:t>伍</w:t>
      </w:r>
      <w:r>
        <w:rPr>
          <w:rFonts w:hint="eastAsia" w:ascii="宋体" w:hAnsi="宋体" w:cs="宋体"/>
          <w:b/>
          <w:szCs w:val="21"/>
        </w:rPr>
        <w:t>份，乙方执</w:t>
      </w:r>
      <w:r>
        <w:rPr>
          <w:rFonts w:hint="eastAsia" w:ascii="宋体" w:hAnsi="宋体" w:cs="宋体"/>
          <w:b/>
          <w:szCs w:val="21"/>
          <w:highlight w:val="yellow"/>
        </w:rPr>
        <w:t>贰</w:t>
      </w:r>
      <w:r>
        <w:rPr>
          <w:rFonts w:hint="eastAsia" w:ascii="宋体" w:hAnsi="宋体" w:cs="宋体"/>
          <w:b/>
          <w:szCs w:val="21"/>
        </w:rPr>
        <w:t>份（可根据需要另增加）。</w:t>
      </w:r>
    </w:p>
    <w:p>
      <w:pPr>
        <w:snapToGrid w:val="0"/>
        <w:spacing w:line="460" w:lineRule="exact"/>
        <w:ind w:firstLine="420" w:firstLineChars="200"/>
        <w:rPr>
          <w:rFonts w:ascii="宋体" w:hAnsi="宋体" w:cs="宋体"/>
          <w:szCs w:val="21"/>
        </w:rPr>
      </w:pPr>
      <w:r>
        <w:rPr>
          <w:rFonts w:hint="eastAsia" w:ascii="宋体" w:hAnsi="宋体" w:cs="宋体"/>
          <w:szCs w:val="21"/>
        </w:rPr>
        <w:t>本合同甲乙双方签字盖章后生效。</w:t>
      </w:r>
    </w:p>
    <w:tbl>
      <w:tblPr>
        <w:tblStyle w:val="17"/>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 xml:space="preserve">甲方（章）           </w:t>
            </w:r>
          </w:p>
          <w:p>
            <w:pPr>
              <w:snapToGrid w:val="0"/>
              <w:spacing w:line="460" w:lineRule="exact"/>
              <w:ind w:firstLine="945" w:firstLineChars="450"/>
              <w:jc w:val="right"/>
              <w:rPr>
                <w:rFonts w:ascii="宋体" w:hAnsi="宋体" w:cs="宋体"/>
                <w:szCs w:val="21"/>
              </w:rPr>
            </w:pPr>
            <w:r>
              <w:rPr>
                <w:rFonts w:hint="eastAsia" w:ascii="宋体" w:hAnsi="宋体" w:cs="宋体"/>
                <w:szCs w:val="21"/>
              </w:rPr>
              <w:t>年   月   日</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 xml:space="preserve">乙方（章）              </w:t>
            </w:r>
          </w:p>
          <w:p>
            <w:pPr>
              <w:snapToGrid w:val="0"/>
              <w:spacing w:line="460" w:lineRule="exact"/>
              <w:jc w:val="right"/>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 xml:space="preserve">单位地址： </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法定代表人：</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委托代理人：</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电话：</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开户银行：</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账号：</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账号：</w:t>
            </w:r>
          </w:p>
        </w:tc>
      </w:tr>
    </w:tbl>
    <w:p>
      <w:pPr>
        <w:adjustRightInd w:val="0"/>
        <w:snapToGrid w:val="0"/>
        <w:spacing w:line="360" w:lineRule="auto"/>
        <w:jc w:val="left"/>
        <w:rPr>
          <w:rFonts w:ascii="宋体" w:hAnsi="宋体" w:cs="宋体"/>
          <w:szCs w:val="21"/>
        </w:rPr>
        <w:sectPr>
          <w:footerReference r:id="rId4" w:type="default"/>
          <w:footnotePr>
            <w:numFmt w:val="decimalEnclosedCircleChinese"/>
            <w:numRestart w:val="eachPage"/>
          </w:footnotePr>
          <w:pgSz w:w="11906" w:h="16838"/>
          <w:pgMar w:top="2098" w:right="1474" w:bottom="1247" w:left="1587" w:header="1134" w:footer="1134" w:gutter="0"/>
          <w:cols w:space="0" w:num="1"/>
          <w:docGrid w:type="lines" w:linePitch="312" w:charSpace="0"/>
        </w:sectPr>
      </w:pPr>
    </w:p>
    <w:p>
      <w:pPr>
        <w:spacing w:line="500" w:lineRule="exact"/>
        <w:rPr>
          <w:rFonts w:asciiTheme="majorEastAsia" w:hAnsiTheme="majorEastAsia" w:eastAsiaTheme="majorEastAsia"/>
          <w:b/>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0D07081-6CFC-457B-900A-2EAD209998A2}"/>
  </w:font>
  <w:font w:name="黑体">
    <w:panose1 w:val="02010609060101010101"/>
    <w:charset w:val="86"/>
    <w:family w:val="auto"/>
    <w:pitch w:val="default"/>
    <w:sig w:usb0="800002BF" w:usb1="38CF7CFA" w:usb2="00000016" w:usb3="00000000" w:csb0="00040001" w:csb1="00000000"/>
    <w:embedRegular r:id="rId2" w:fontKey="{FFEC2F5D-B681-460B-A7B2-AD9F60381C5D}"/>
  </w:font>
  <w:font w:name="Courier New">
    <w:panose1 w:val="02070309020205020404"/>
    <w:charset w:val="01"/>
    <w:family w:val="modern"/>
    <w:pitch w:val="default"/>
    <w:sig w:usb0="E0002AFF" w:usb1="C0007843" w:usb2="00000009" w:usb3="00000000" w:csb0="400001FF" w:csb1="FFFF0000"/>
    <w:embedRegular r:id="rId3" w:fontKey="{97CDC2FB-98B9-407D-9E06-2D5B5BC5CBD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embedRegular r:id="rId4" w:fontKey="{9FFD6ED8-78C6-4CDA-B77E-8D7C975F4512}"/>
  </w:font>
  <w:font w:name="方正仿宋简体">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2C0DE774-E951-4709-8E2A-A7C9F83D3684}"/>
  </w:font>
  <w:font w:name="Segoe UI Symbol">
    <w:panose1 w:val="020B0502040204020203"/>
    <w:charset w:val="00"/>
    <w:family w:val="swiss"/>
    <w:pitch w:val="default"/>
    <w:sig w:usb0="8000006F" w:usb1="1200FBEF" w:usb2="0004C000" w:usb3="00000000" w:csb0="00000001" w:csb1="40000000"/>
    <w:embedRegular r:id="rId6" w:fontKey="{631061E8-D85D-4ED3-ADF2-6548544E1743}"/>
  </w:font>
  <w:font w:name="微软雅黑">
    <w:panose1 w:val="020B0503020204020204"/>
    <w:charset w:val="86"/>
    <w:family w:val="swiss"/>
    <w:pitch w:val="default"/>
    <w:sig w:usb0="80000287" w:usb1="280F3C52" w:usb2="00000016" w:usb3="00000000" w:csb0="0004001F" w:csb1="00000000"/>
    <w:embedRegular r:id="rId7" w:fontKey="{AE8ACA6E-0F4B-4456-BD8C-4CDC9A16F2BE}"/>
  </w:font>
  <w:font w:name="方正小标宋简体">
    <w:altName w:val="方正舒体"/>
    <w:panose1 w:val="00000000000000000000"/>
    <w:charset w:val="86"/>
    <w:family w:val="script"/>
    <w:pitch w:val="default"/>
    <w:sig w:usb0="00000000" w:usb1="00000000" w:usb2="00000000" w:usb3="00000000" w:csb0="00040000" w:csb1="00000000"/>
    <w:embedRegular r:id="rId8" w:fontKey="{B54ADB07-4312-4D22-9364-EE37D61319E3}"/>
  </w:font>
  <w:font w:name="Gulim">
    <w:panose1 w:val="020B0600000101010101"/>
    <w:charset w:val="81"/>
    <w:family w:val="auto"/>
    <w:pitch w:val="default"/>
    <w:sig w:usb0="B00002AF" w:usb1="69D77CFB" w:usb2="00000030" w:usb3="00000000" w:csb0="4008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3"/>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5X5J0AAAAAMBAAAPAAAAAAAAAAEAIAAAACIAAABkcnMvZG93bnJldi54bWxQSwECFAAU&#10;AAAACACHTuJAgYAsx/kBAAABBAAADgAAAAAAAAABACAAAAAfAQAAZHJzL2Uyb0RvYy54bWxQSwUG&#10;AAAAAAYABgBZAQAAig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1EE3"/>
    <w:multiLevelType w:val="singleLevel"/>
    <w:tmpl w:val="E1461EE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yMDk1MTEzYmZmZDdlMmViM2MyNTlmNGIwMTQzODEifQ=="/>
  </w:docVars>
  <w:rsids>
    <w:rsidRoot w:val="0087717D"/>
    <w:rsid w:val="00001137"/>
    <w:rsid w:val="00004048"/>
    <w:rsid w:val="00005022"/>
    <w:rsid w:val="00005B53"/>
    <w:rsid w:val="000071F8"/>
    <w:rsid w:val="0000755F"/>
    <w:rsid w:val="000115F8"/>
    <w:rsid w:val="00014713"/>
    <w:rsid w:val="000229F0"/>
    <w:rsid w:val="00030618"/>
    <w:rsid w:val="00033A2A"/>
    <w:rsid w:val="00045722"/>
    <w:rsid w:val="000458C5"/>
    <w:rsid w:val="00047B8A"/>
    <w:rsid w:val="00051EF0"/>
    <w:rsid w:val="000665DD"/>
    <w:rsid w:val="00066809"/>
    <w:rsid w:val="00076975"/>
    <w:rsid w:val="00076ED4"/>
    <w:rsid w:val="00082B6E"/>
    <w:rsid w:val="00083B1A"/>
    <w:rsid w:val="000868A4"/>
    <w:rsid w:val="000909C5"/>
    <w:rsid w:val="00090E04"/>
    <w:rsid w:val="00091CF6"/>
    <w:rsid w:val="00093994"/>
    <w:rsid w:val="000A1481"/>
    <w:rsid w:val="000A2FC3"/>
    <w:rsid w:val="000B1FE7"/>
    <w:rsid w:val="000C08AC"/>
    <w:rsid w:val="000D3908"/>
    <w:rsid w:val="000D5F6A"/>
    <w:rsid w:val="000E21C9"/>
    <w:rsid w:val="000E53BA"/>
    <w:rsid w:val="000F1A36"/>
    <w:rsid w:val="000F1DC8"/>
    <w:rsid w:val="000F2412"/>
    <w:rsid w:val="000F75B9"/>
    <w:rsid w:val="001016C6"/>
    <w:rsid w:val="0010695A"/>
    <w:rsid w:val="00106C7F"/>
    <w:rsid w:val="0011540A"/>
    <w:rsid w:val="001161A5"/>
    <w:rsid w:val="00122D51"/>
    <w:rsid w:val="001317C9"/>
    <w:rsid w:val="00131DBE"/>
    <w:rsid w:val="0013541B"/>
    <w:rsid w:val="0013725C"/>
    <w:rsid w:val="00140119"/>
    <w:rsid w:val="0014095D"/>
    <w:rsid w:val="001410B2"/>
    <w:rsid w:val="0014517F"/>
    <w:rsid w:val="001475EE"/>
    <w:rsid w:val="00150714"/>
    <w:rsid w:val="0015139F"/>
    <w:rsid w:val="00152212"/>
    <w:rsid w:val="00153DD0"/>
    <w:rsid w:val="00153FC9"/>
    <w:rsid w:val="0015570B"/>
    <w:rsid w:val="001600EA"/>
    <w:rsid w:val="001640FB"/>
    <w:rsid w:val="00165BB5"/>
    <w:rsid w:val="0017173E"/>
    <w:rsid w:val="0017586F"/>
    <w:rsid w:val="001800B9"/>
    <w:rsid w:val="00187949"/>
    <w:rsid w:val="00192768"/>
    <w:rsid w:val="001971BA"/>
    <w:rsid w:val="001A09DF"/>
    <w:rsid w:val="001A5BBB"/>
    <w:rsid w:val="001A5F57"/>
    <w:rsid w:val="001A7092"/>
    <w:rsid w:val="001B1BDB"/>
    <w:rsid w:val="001B472B"/>
    <w:rsid w:val="001B49AD"/>
    <w:rsid w:val="001B5458"/>
    <w:rsid w:val="001B76B5"/>
    <w:rsid w:val="001B7ED0"/>
    <w:rsid w:val="001C27AA"/>
    <w:rsid w:val="001D0664"/>
    <w:rsid w:val="001D5FB3"/>
    <w:rsid w:val="001E52DC"/>
    <w:rsid w:val="001F25B4"/>
    <w:rsid w:val="001F3533"/>
    <w:rsid w:val="001F353D"/>
    <w:rsid w:val="001F5E5B"/>
    <w:rsid w:val="002058D3"/>
    <w:rsid w:val="00216674"/>
    <w:rsid w:val="00226FCD"/>
    <w:rsid w:val="0023043B"/>
    <w:rsid w:val="00231D73"/>
    <w:rsid w:val="002446AB"/>
    <w:rsid w:val="00250554"/>
    <w:rsid w:val="00262B18"/>
    <w:rsid w:val="00263E5B"/>
    <w:rsid w:val="002865BB"/>
    <w:rsid w:val="002958AA"/>
    <w:rsid w:val="002A6BEB"/>
    <w:rsid w:val="002B2CF8"/>
    <w:rsid w:val="002B5DA4"/>
    <w:rsid w:val="002B6420"/>
    <w:rsid w:val="002C2B79"/>
    <w:rsid w:val="002C4962"/>
    <w:rsid w:val="002C7D77"/>
    <w:rsid w:val="002D0DD2"/>
    <w:rsid w:val="002D169F"/>
    <w:rsid w:val="002E5124"/>
    <w:rsid w:val="002E6DDD"/>
    <w:rsid w:val="002E7179"/>
    <w:rsid w:val="002E77F4"/>
    <w:rsid w:val="00303708"/>
    <w:rsid w:val="00303A63"/>
    <w:rsid w:val="0031439C"/>
    <w:rsid w:val="0031668E"/>
    <w:rsid w:val="003173F9"/>
    <w:rsid w:val="00317534"/>
    <w:rsid w:val="00323766"/>
    <w:rsid w:val="003340C7"/>
    <w:rsid w:val="00340842"/>
    <w:rsid w:val="00341769"/>
    <w:rsid w:val="00341EE2"/>
    <w:rsid w:val="003504BB"/>
    <w:rsid w:val="00353F6C"/>
    <w:rsid w:val="003554C1"/>
    <w:rsid w:val="003576A1"/>
    <w:rsid w:val="003634AA"/>
    <w:rsid w:val="003639DF"/>
    <w:rsid w:val="00363EB7"/>
    <w:rsid w:val="003721BB"/>
    <w:rsid w:val="003953A7"/>
    <w:rsid w:val="00397190"/>
    <w:rsid w:val="003A7AB5"/>
    <w:rsid w:val="003C1A58"/>
    <w:rsid w:val="003C1FB7"/>
    <w:rsid w:val="003C505D"/>
    <w:rsid w:val="003D0201"/>
    <w:rsid w:val="003D7C45"/>
    <w:rsid w:val="003E685F"/>
    <w:rsid w:val="003F3048"/>
    <w:rsid w:val="00402252"/>
    <w:rsid w:val="00405818"/>
    <w:rsid w:val="00415D58"/>
    <w:rsid w:val="00416F0C"/>
    <w:rsid w:val="004207F9"/>
    <w:rsid w:val="00421C6A"/>
    <w:rsid w:val="00425D7F"/>
    <w:rsid w:val="004262EF"/>
    <w:rsid w:val="00426325"/>
    <w:rsid w:val="004264B1"/>
    <w:rsid w:val="00430571"/>
    <w:rsid w:val="004306BC"/>
    <w:rsid w:val="00434DE1"/>
    <w:rsid w:val="00435BE4"/>
    <w:rsid w:val="00437AE2"/>
    <w:rsid w:val="00440FED"/>
    <w:rsid w:val="00447F8C"/>
    <w:rsid w:val="00450D7A"/>
    <w:rsid w:val="004525D9"/>
    <w:rsid w:val="00455181"/>
    <w:rsid w:val="00455697"/>
    <w:rsid w:val="00456C1A"/>
    <w:rsid w:val="004664A6"/>
    <w:rsid w:val="00470386"/>
    <w:rsid w:val="004715BA"/>
    <w:rsid w:val="00474794"/>
    <w:rsid w:val="004776CC"/>
    <w:rsid w:val="004824B0"/>
    <w:rsid w:val="004830EE"/>
    <w:rsid w:val="00483368"/>
    <w:rsid w:val="00485CBB"/>
    <w:rsid w:val="00490819"/>
    <w:rsid w:val="004932F8"/>
    <w:rsid w:val="00493C06"/>
    <w:rsid w:val="00497DB2"/>
    <w:rsid w:val="004A0AD4"/>
    <w:rsid w:val="004A5C9E"/>
    <w:rsid w:val="004A5DC0"/>
    <w:rsid w:val="004A6895"/>
    <w:rsid w:val="004B069F"/>
    <w:rsid w:val="004D2510"/>
    <w:rsid w:val="004E35BD"/>
    <w:rsid w:val="004E470A"/>
    <w:rsid w:val="004E4E0D"/>
    <w:rsid w:val="004F2344"/>
    <w:rsid w:val="004F43F8"/>
    <w:rsid w:val="00512A42"/>
    <w:rsid w:val="00512DD0"/>
    <w:rsid w:val="00514ED9"/>
    <w:rsid w:val="0051560A"/>
    <w:rsid w:val="00520D3C"/>
    <w:rsid w:val="00523283"/>
    <w:rsid w:val="00534042"/>
    <w:rsid w:val="00535864"/>
    <w:rsid w:val="0054214C"/>
    <w:rsid w:val="00543CB8"/>
    <w:rsid w:val="00553B01"/>
    <w:rsid w:val="0055535A"/>
    <w:rsid w:val="005631A8"/>
    <w:rsid w:val="00563EE2"/>
    <w:rsid w:val="00566847"/>
    <w:rsid w:val="005758A2"/>
    <w:rsid w:val="005760B1"/>
    <w:rsid w:val="00587785"/>
    <w:rsid w:val="00591C93"/>
    <w:rsid w:val="005A1B63"/>
    <w:rsid w:val="005A4A41"/>
    <w:rsid w:val="005A56B1"/>
    <w:rsid w:val="005B26F4"/>
    <w:rsid w:val="005C179A"/>
    <w:rsid w:val="005C52A5"/>
    <w:rsid w:val="005C5921"/>
    <w:rsid w:val="005C78CC"/>
    <w:rsid w:val="005E3FCA"/>
    <w:rsid w:val="00602E3B"/>
    <w:rsid w:val="006033F9"/>
    <w:rsid w:val="006037B5"/>
    <w:rsid w:val="00603D92"/>
    <w:rsid w:val="0060477F"/>
    <w:rsid w:val="00610F0D"/>
    <w:rsid w:val="0061167A"/>
    <w:rsid w:val="00612E73"/>
    <w:rsid w:val="00636B18"/>
    <w:rsid w:val="0063717B"/>
    <w:rsid w:val="00640454"/>
    <w:rsid w:val="00642534"/>
    <w:rsid w:val="006440B7"/>
    <w:rsid w:val="006474A4"/>
    <w:rsid w:val="00652A60"/>
    <w:rsid w:val="00656EF9"/>
    <w:rsid w:val="00671BDD"/>
    <w:rsid w:val="00672CD7"/>
    <w:rsid w:val="00687915"/>
    <w:rsid w:val="00690B41"/>
    <w:rsid w:val="0069142F"/>
    <w:rsid w:val="00692A3E"/>
    <w:rsid w:val="0069352B"/>
    <w:rsid w:val="006A0A76"/>
    <w:rsid w:val="006A284E"/>
    <w:rsid w:val="006A4729"/>
    <w:rsid w:val="006A7636"/>
    <w:rsid w:val="006B3C41"/>
    <w:rsid w:val="006B66E7"/>
    <w:rsid w:val="006B727D"/>
    <w:rsid w:val="006C739F"/>
    <w:rsid w:val="006D46C4"/>
    <w:rsid w:val="006E17D9"/>
    <w:rsid w:val="006E47B2"/>
    <w:rsid w:val="006F0F43"/>
    <w:rsid w:val="006F234A"/>
    <w:rsid w:val="006F32A0"/>
    <w:rsid w:val="006F3AD0"/>
    <w:rsid w:val="006F5487"/>
    <w:rsid w:val="00701CFA"/>
    <w:rsid w:val="00703718"/>
    <w:rsid w:val="00705D71"/>
    <w:rsid w:val="00707065"/>
    <w:rsid w:val="00714CDC"/>
    <w:rsid w:val="0071671A"/>
    <w:rsid w:val="00717151"/>
    <w:rsid w:val="00724D9A"/>
    <w:rsid w:val="00754E9D"/>
    <w:rsid w:val="007560A6"/>
    <w:rsid w:val="00760456"/>
    <w:rsid w:val="00770398"/>
    <w:rsid w:val="00777232"/>
    <w:rsid w:val="00784BD4"/>
    <w:rsid w:val="0079001C"/>
    <w:rsid w:val="00790DA2"/>
    <w:rsid w:val="007953AD"/>
    <w:rsid w:val="007A4968"/>
    <w:rsid w:val="007A62A8"/>
    <w:rsid w:val="007A7137"/>
    <w:rsid w:val="007A7214"/>
    <w:rsid w:val="007B126C"/>
    <w:rsid w:val="007B31BF"/>
    <w:rsid w:val="007B597D"/>
    <w:rsid w:val="007C1698"/>
    <w:rsid w:val="007C3016"/>
    <w:rsid w:val="007C752A"/>
    <w:rsid w:val="007D01A2"/>
    <w:rsid w:val="007D04D6"/>
    <w:rsid w:val="007E66F8"/>
    <w:rsid w:val="007E73C5"/>
    <w:rsid w:val="007F0568"/>
    <w:rsid w:val="007F077D"/>
    <w:rsid w:val="007F2C4E"/>
    <w:rsid w:val="007F645A"/>
    <w:rsid w:val="00802DD5"/>
    <w:rsid w:val="00806971"/>
    <w:rsid w:val="00811FA8"/>
    <w:rsid w:val="00812D4D"/>
    <w:rsid w:val="00813568"/>
    <w:rsid w:val="0081736E"/>
    <w:rsid w:val="00825D3B"/>
    <w:rsid w:val="00827317"/>
    <w:rsid w:val="00830719"/>
    <w:rsid w:val="00832F11"/>
    <w:rsid w:val="00836EDF"/>
    <w:rsid w:val="00840985"/>
    <w:rsid w:val="00840A7F"/>
    <w:rsid w:val="008449A7"/>
    <w:rsid w:val="00844A81"/>
    <w:rsid w:val="00844FF3"/>
    <w:rsid w:val="00846283"/>
    <w:rsid w:val="00847576"/>
    <w:rsid w:val="0085046B"/>
    <w:rsid w:val="00851185"/>
    <w:rsid w:val="00853454"/>
    <w:rsid w:val="008605A3"/>
    <w:rsid w:val="008651EF"/>
    <w:rsid w:val="00867D73"/>
    <w:rsid w:val="00876649"/>
    <w:rsid w:val="0087717D"/>
    <w:rsid w:val="00877F5B"/>
    <w:rsid w:val="0089355D"/>
    <w:rsid w:val="008940D3"/>
    <w:rsid w:val="00894657"/>
    <w:rsid w:val="00894E30"/>
    <w:rsid w:val="0089541C"/>
    <w:rsid w:val="00895FE3"/>
    <w:rsid w:val="008A5082"/>
    <w:rsid w:val="008A530F"/>
    <w:rsid w:val="008B3EAC"/>
    <w:rsid w:val="008B7604"/>
    <w:rsid w:val="008C529E"/>
    <w:rsid w:val="008C5527"/>
    <w:rsid w:val="008D2633"/>
    <w:rsid w:val="008D296A"/>
    <w:rsid w:val="008D31E4"/>
    <w:rsid w:val="008D398B"/>
    <w:rsid w:val="008D3E5A"/>
    <w:rsid w:val="008E4554"/>
    <w:rsid w:val="008F3CD1"/>
    <w:rsid w:val="0090100E"/>
    <w:rsid w:val="00904BBA"/>
    <w:rsid w:val="009050BE"/>
    <w:rsid w:val="00910C6F"/>
    <w:rsid w:val="00916052"/>
    <w:rsid w:val="00916876"/>
    <w:rsid w:val="00923140"/>
    <w:rsid w:val="0092798F"/>
    <w:rsid w:val="00933E62"/>
    <w:rsid w:val="00937A87"/>
    <w:rsid w:val="0094207D"/>
    <w:rsid w:val="00943259"/>
    <w:rsid w:val="009435CC"/>
    <w:rsid w:val="00943EC2"/>
    <w:rsid w:val="00945050"/>
    <w:rsid w:val="00946048"/>
    <w:rsid w:val="00947E50"/>
    <w:rsid w:val="0095394E"/>
    <w:rsid w:val="0095403E"/>
    <w:rsid w:val="009566DD"/>
    <w:rsid w:val="009648C9"/>
    <w:rsid w:val="00966B46"/>
    <w:rsid w:val="009703D3"/>
    <w:rsid w:val="00971D71"/>
    <w:rsid w:val="00974A6F"/>
    <w:rsid w:val="00976191"/>
    <w:rsid w:val="00980C68"/>
    <w:rsid w:val="009810BB"/>
    <w:rsid w:val="00982CD8"/>
    <w:rsid w:val="00984514"/>
    <w:rsid w:val="00984F76"/>
    <w:rsid w:val="00991074"/>
    <w:rsid w:val="00992014"/>
    <w:rsid w:val="009B33BD"/>
    <w:rsid w:val="009B633A"/>
    <w:rsid w:val="009B67D8"/>
    <w:rsid w:val="009C268F"/>
    <w:rsid w:val="009C2E73"/>
    <w:rsid w:val="009D0E74"/>
    <w:rsid w:val="009D1844"/>
    <w:rsid w:val="009D4D59"/>
    <w:rsid w:val="009F2527"/>
    <w:rsid w:val="00A012E8"/>
    <w:rsid w:val="00A15C4F"/>
    <w:rsid w:val="00A20782"/>
    <w:rsid w:val="00A26426"/>
    <w:rsid w:val="00A35231"/>
    <w:rsid w:val="00A37E79"/>
    <w:rsid w:val="00A40C30"/>
    <w:rsid w:val="00A43622"/>
    <w:rsid w:val="00A502E5"/>
    <w:rsid w:val="00A52261"/>
    <w:rsid w:val="00A537E8"/>
    <w:rsid w:val="00A541B8"/>
    <w:rsid w:val="00A54674"/>
    <w:rsid w:val="00A746E7"/>
    <w:rsid w:val="00A828D9"/>
    <w:rsid w:val="00A87F18"/>
    <w:rsid w:val="00A90591"/>
    <w:rsid w:val="00A94362"/>
    <w:rsid w:val="00A94A04"/>
    <w:rsid w:val="00AA2A38"/>
    <w:rsid w:val="00AA329C"/>
    <w:rsid w:val="00AA6D85"/>
    <w:rsid w:val="00AB04CB"/>
    <w:rsid w:val="00AB07BA"/>
    <w:rsid w:val="00AC16F3"/>
    <w:rsid w:val="00AC42C8"/>
    <w:rsid w:val="00AC6EB9"/>
    <w:rsid w:val="00AD273A"/>
    <w:rsid w:val="00AD3EBF"/>
    <w:rsid w:val="00AE4ACE"/>
    <w:rsid w:val="00AE4F23"/>
    <w:rsid w:val="00AE5373"/>
    <w:rsid w:val="00AF0909"/>
    <w:rsid w:val="00AF7B53"/>
    <w:rsid w:val="00B04C26"/>
    <w:rsid w:val="00B06DF7"/>
    <w:rsid w:val="00B16550"/>
    <w:rsid w:val="00B2020C"/>
    <w:rsid w:val="00B21EE9"/>
    <w:rsid w:val="00B3258D"/>
    <w:rsid w:val="00B3691A"/>
    <w:rsid w:val="00B43ED2"/>
    <w:rsid w:val="00B45A16"/>
    <w:rsid w:val="00B51E50"/>
    <w:rsid w:val="00B54A0A"/>
    <w:rsid w:val="00B566D0"/>
    <w:rsid w:val="00B57264"/>
    <w:rsid w:val="00B6669A"/>
    <w:rsid w:val="00B6675A"/>
    <w:rsid w:val="00B679A7"/>
    <w:rsid w:val="00B74FD1"/>
    <w:rsid w:val="00B82743"/>
    <w:rsid w:val="00B82B83"/>
    <w:rsid w:val="00B848E0"/>
    <w:rsid w:val="00B90BD0"/>
    <w:rsid w:val="00B9771A"/>
    <w:rsid w:val="00BA00C2"/>
    <w:rsid w:val="00BA19DF"/>
    <w:rsid w:val="00BA412D"/>
    <w:rsid w:val="00BA4602"/>
    <w:rsid w:val="00BA5DD1"/>
    <w:rsid w:val="00BA7416"/>
    <w:rsid w:val="00BB0D3B"/>
    <w:rsid w:val="00BB1D5E"/>
    <w:rsid w:val="00BB2B57"/>
    <w:rsid w:val="00BB55F7"/>
    <w:rsid w:val="00BB77BF"/>
    <w:rsid w:val="00BC6A28"/>
    <w:rsid w:val="00BD013D"/>
    <w:rsid w:val="00BD24CE"/>
    <w:rsid w:val="00BE1199"/>
    <w:rsid w:val="00BE68B8"/>
    <w:rsid w:val="00BF1FC3"/>
    <w:rsid w:val="00BF5BE7"/>
    <w:rsid w:val="00C01099"/>
    <w:rsid w:val="00C03A97"/>
    <w:rsid w:val="00C06195"/>
    <w:rsid w:val="00C11067"/>
    <w:rsid w:val="00C145FA"/>
    <w:rsid w:val="00C20A81"/>
    <w:rsid w:val="00C22616"/>
    <w:rsid w:val="00C22E9F"/>
    <w:rsid w:val="00C245C4"/>
    <w:rsid w:val="00C25756"/>
    <w:rsid w:val="00C25F8F"/>
    <w:rsid w:val="00C26116"/>
    <w:rsid w:val="00C2700E"/>
    <w:rsid w:val="00C3407C"/>
    <w:rsid w:val="00C37BCE"/>
    <w:rsid w:val="00C411A0"/>
    <w:rsid w:val="00C4402E"/>
    <w:rsid w:val="00C4585A"/>
    <w:rsid w:val="00C45AD6"/>
    <w:rsid w:val="00C466EF"/>
    <w:rsid w:val="00C571F9"/>
    <w:rsid w:val="00C618FD"/>
    <w:rsid w:val="00C63B6F"/>
    <w:rsid w:val="00C66FA7"/>
    <w:rsid w:val="00C678A9"/>
    <w:rsid w:val="00C70392"/>
    <w:rsid w:val="00C720B1"/>
    <w:rsid w:val="00C77192"/>
    <w:rsid w:val="00C90759"/>
    <w:rsid w:val="00C92BEE"/>
    <w:rsid w:val="00C954D7"/>
    <w:rsid w:val="00CA43CC"/>
    <w:rsid w:val="00CB041E"/>
    <w:rsid w:val="00CB6EDE"/>
    <w:rsid w:val="00CC4A76"/>
    <w:rsid w:val="00CC5837"/>
    <w:rsid w:val="00CD16CC"/>
    <w:rsid w:val="00CD292A"/>
    <w:rsid w:val="00CD6F63"/>
    <w:rsid w:val="00CE0537"/>
    <w:rsid w:val="00CE511C"/>
    <w:rsid w:val="00CE75B0"/>
    <w:rsid w:val="00CF14B9"/>
    <w:rsid w:val="00CF1CB1"/>
    <w:rsid w:val="00CF74D3"/>
    <w:rsid w:val="00D03943"/>
    <w:rsid w:val="00D05462"/>
    <w:rsid w:val="00D1673E"/>
    <w:rsid w:val="00D20F0A"/>
    <w:rsid w:val="00D2347B"/>
    <w:rsid w:val="00D27974"/>
    <w:rsid w:val="00D30285"/>
    <w:rsid w:val="00D35C1B"/>
    <w:rsid w:val="00D427B4"/>
    <w:rsid w:val="00D43E7A"/>
    <w:rsid w:val="00D60149"/>
    <w:rsid w:val="00D60C92"/>
    <w:rsid w:val="00D62421"/>
    <w:rsid w:val="00D67195"/>
    <w:rsid w:val="00D67C99"/>
    <w:rsid w:val="00D73ED9"/>
    <w:rsid w:val="00D8328B"/>
    <w:rsid w:val="00D955CD"/>
    <w:rsid w:val="00D97B85"/>
    <w:rsid w:val="00DA0923"/>
    <w:rsid w:val="00DA0CBC"/>
    <w:rsid w:val="00DA3216"/>
    <w:rsid w:val="00DA5653"/>
    <w:rsid w:val="00DB056D"/>
    <w:rsid w:val="00DB093A"/>
    <w:rsid w:val="00DB5A4C"/>
    <w:rsid w:val="00DB670C"/>
    <w:rsid w:val="00DC3DA6"/>
    <w:rsid w:val="00DC52A1"/>
    <w:rsid w:val="00DC682F"/>
    <w:rsid w:val="00DD2203"/>
    <w:rsid w:val="00DD2E0C"/>
    <w:rsid w:val="00DD4AE7"/>
    <w:rsid w:val="00DE6B26"/>
    <w:rsid w:val="00DF3CE3"/>
    <w:rsid w:val="00DF6D8C"/>
    <w:rsid w:val="00E00C1A"/>
    <w:rsid w:val="00E034AA"/>
    <w:rsid w:val="00E053BE"/>
    <w:rsid w:val="00E14981"/>
    <w:rsid w:val="00E17D9A"/>
    <w:rsid w:val="00E21177"/>
    <w:rsid w:val="00E337F9"/>
    <w:rsid w:val="00E34BBE"/>
    <w:rsid w:val="00E46AD2"/>
    <w:rsid w:val="00E54615"/>
    <w:rsid w:val="00E56DBD"/>
    <w:rsid w:val="00E636EF"/>
    <w:rsid w:val="00E64B85"/>
    <w:rsid w:val="00E85D57"/>
    <w:rsid w:val="00E9092D"/>
    <w:rsid w:val="00E91382"/>
    <w:rsid w:val="00E95A54"/>
    <w:rsid w:val="00E963A9"/>
    <w:rsid w:val="00E97929"/>
    <w:rsid w:val="00EB1381"/>
    <w:rsid w:val="00EC51EA"/>
    <w:rsid w:val="00EC5CAA"/>
    <w:rsid w:val="00EC67F9"/>
    <w:rsid w:val="00EC72A5"/>
    <w:rsid w:val="00ED0833"/>
    <w:rsid w:val="00ED6306"/>
    <w:rsid w:val="00ED7316"/>
    <w:rsid w:val="00EE0575"/>
    <w:rsid w:val="00EF27B5"/>
    <w:rsid w:val="00EF4C4A"/>
    <w:rsid w:val="00EF5203"/>
    <w:rsid w:val="00F04405"/>
    <w:rsid w:val="00F11AE5"/>
    <w:rsid w:val="00F1335B"/>
    <w:rsid w:val="00F16D0D"/>
    <w:rsid w:val="00F256A6"/>
    <w:rsid w:val="00F266A8"/>
    <w:rsid w:val="00F269FD"/>
    <w:rsid w:val="00F27EE8"/>
    <w:rsid w:val="00F30080"/>
    <w:rsid w:val="00F30BB8"/>
    <w:rsid w:val="00F31983"/>
    <w:rsid w:val="00F362CC"/>
    <w:rsid w:val="00F36BDE"/>
    <w:rsid w:val="00F54C49"/>
    <w:rsid w:val="00F57262"/>
    <w:rsid w:val="00F71168"/>
    <w:rsid w:val="00F7325D"/>
    <w:rsid w:val="00F77233"/>
    <w:rsid w:val="00F77366"/>
    <w:rsid w:val="00F77402"/>
    <w:rsid w:val="00F7752B"/>
    <w:rsid w:val="00F84A07"/>
    <w:rsid w:val="00F857ED"/>
    <w:rsid w:val="00F91F6D"/>
    <w:rsid w:val="00F93F4C"/>
    <w:rsid w:val="00F9567F"/>
    <w:rsid w:val="00F95E7C"/>
    <w:rsid w:val="00FA4355"/>
    <w:rsid w:val="00FB2BC7"/>
    <w:rsid w:val="00FB782F"/>
    <w:rsid w:val="00FC1B8A"/>
    <w:rsid w:val="00FC3A35"/>
    <w:rsid w:val="00FC3D14"/>
    <w:rsid w:val="00FE786C"/>
    <w:rsid w:val="00FE7E1C"/>
    <w:rsid w:val="00FF12DB"/>
    <w:rsid w:val="00FF5260"/>
    <w:rsid w:val="00FF74D4"/>
    <w:rsid w:val="02F72AEC"/>
    <w:rsid w:val="03342D85"/>
    <w:rsid w:val="038D79B7"/>
    <w:rsid w:val="047D1B6E"/>
    <w:rsid w:val="04BF260B"/>
    <w:rsid w:val="060A7F0C"/>
    <w:rsid w:val="06264155"/>
    <w:rsid w:val="0A107177"/>
    <w:rsid w:val="0B4453CD"/>
    <w:rsid w:val="0C453A64"/>
    <w:rsid w:val="0CAF5D56"/>
    <w:rsid w:val="0DBB266A"/>
    <w:rsid w:val="0DD036B5"/>
    <w:rsid w:val="0FC85F3C"/>
    <w:rsid w:val="10030D22"/>
    <w:rsid w:val="106F0560"/>
    <w:rsid w:val="10E54153"/>
    <w:rsid w:val="114F7185"/>
    <w:rsid w:val="144933C4"/>
    <w:rsid w:val="14E5401B"/>
    <w:rsid w:val="15A57173"/>
    <w:rsid w:val="167364D6"/>
    <w:rsid w:val="188718D8"/>
    <w:rsid w:val="189015C1"/>
    <w:rsid w:val="1A6B5E42"/>
    <w:rsid w:val="1D602818"/>
    <w:rsid w:val="1D734ADD"/>
    <w:rsid w:val="1FE65F6B"/>
    <w:rsid w:val="20817E50"/>
    <w:rsid w:val="20C25C2D"/>
    <w:rsid w:val="23FD207E"/>
    <w:rsid w:val="241430A6"/>
    <w:rsid w:val="24D36535"/>
    <w:rsid w:val="25775188"/>
    <w:rsid w:val="27515CDC"/>
    <w:rsid w:val="275B588B"/>
    <w:rsid w:val="28620159"/>
    <w:rsid w:val="2B7E34FB"/>
    <w:rsid w:val="2BA61F9C"/>
    <w:rsid w:val="2BB81936"/>
    <w:rsid w:val="2D3C23FE"/>
    <w:rsid w:val="2EB16F5A"/>
    <w:rsid w:val="2FA85F14"/>
    <w:rsid w:val="2FCB33F0"/>
    <w:rsid w:val="33641268"/>
    <w:rsid w:val="33A15FD9"/>
    <w:rsid w:val="340C0F9D"/>
    <w:rsid w:val="35415CC5"/>
    <w:rsid w:val="358F5DF9"/>
    <w:rsid w:val="36B51FF6"/>
    <w:rsid w:val="37240250"/>
    <w:rsid w:val="38593326"/>
    <w:rsid w:val="391D6BB5"/>
    <w:rsid w:val="39F552D0"/>
    <w:rsid w:val="3AAD3487"/>
    <w:rsid w:val="3D931088"/>
    <w:rsid w:val="3E646B18"/>
    <w:rsid w:val="3EC2015A"/>
    <w:rsid w:val="3F7C0431"/>
    <w:rsid w:val="40B94D77"/>
    <w:rsid w:val="411B434D"/>
    <w:rsid w:val="42595F30"/>
    <w:rsid w:val="42BD5522"/>
    <w:rsid w:val="430F3A6E"/>
    <w:rsid w:val="43340C18"/>
    <w:rsid w:val="435412BA"/>
    <w:rsid w:val="43A47936"/>
    <w:rsid w:val="448C54BB"/>
    <w:rsid w:val="4512577F"/>
    <w:rsid w:val="45F01839"/>
    <w:rsid w:val="47887B38"/>
    <w:rsid w:val="49115557"/>
    <w:rsid w:val="4A8F5981"/>
    <w:rsid w:val="4DFD6E89"/>
    <w:rsid w:val="50EE68AA"/>
    <w:rsid w:val="535B23F4"/>
    <w:rsid w:val="577675F9"/>
    <w:rsid w:val="59576FB6"/>
    <w:rsid w:val="59B20A17"/>
    <w:rsid w:val="5B57504B"/>
    <w:rsid w:val="5B7F45A2"/>
    <w:rsid w:val="5C711A3B"/>
    <w:rsid w:val="5C7D2BB8"/>
    <w:rsid w:val="5DD80DC3"/>
    <w:rsid w:val="5E5925BD"/>
    <w:rsid w:val="5E5F4EE4"/>
    <w:rsid w:val="5E9B6682"/>
    <w:rsid w:val="5EC11A00"/>
    <w:rsid w:val="5F180F96"/>
    <w:rsid w:val="5F822615"/>
    <w:rsid w:val="609F4B0A"/>
    <w:rsid w:val="60F14539"/>
    <w:rsid w:val="61994610"/>
    <w:rsid w:val="62E056D5"/>
    <w:rsid w:val="635C141B"/>
    <w:rsid w:val="63E13B00"/>
    <w:rsid w:val="64746C6E"/>
    <w:rsid w:val="64A84B6A"/>
    <w:rsid w:val="653B572C"/>
    <w:rsid w:val="65586590"/>
    <w:rsid w:val="66965720"/>
    <w:rsid w:val="67680CC1"/>
    <w:rsid w:val="678C0F02"/>
    <w:rsid w:val="678E6299"/>
    <w:rsid w:val="6840387F"/>
    <w:rsid w:val="68E454D3"/>
    <w:rsid w:val="69F34AD9"/>
    <w:rsid w:val="6AAC36BF"/>
    <w:rsid w:val="6B340066"/>
    <w:rsid w:val="6C501A07"/>
    <w:rsid w:val="6E5B6918"/>
    <w:rsid w:val="6F055D78"/>
    <w:rsid w:val="6F9603E0"/>
    <w:rsid w:val="719170B1"/>
    <w:rsid w:val="71BD19EB"/>
    <w:rsid w:val="721D203F"/>
    <w:rsid w:val="727A5D97"/>
    <w:rsid w:val="73075151"/>
    <w:rsid w:val="73DC213A"/>
    <w:rsid w:val="746A6B1A"/>
    <w:rsid w:val="747E1443"/>
    <w:rsid w:val="75206F1D"/>
    <w:rsid w:val="7578360E"/>
    <w:rsid w:val="75B23186"/>
    <w:rsid w:val="75B774DA"/>
    <w:rsid w:val="76C515AB"/>
    <w:rsid w:val="77D93692"/>
    <w:rsid w:val="79C30143"/>
    <w:rsid w:val="7A98194F"/>
    <w:rsid w:val="7B5E3716"/>
    <w:rsid w:val="7B705E41"/>
    <w:rsid w:val="7BA81A06"/>
    <w:rsid w:val="7BC77C70"/>
    <w:rsid w:val="7C9E6B26"/>
    <w:rsid w:val="7D1F3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link w:val="64"/>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0"/>
    <w:pPr>
      <w:widowControl/>
      <w:pBdr>
        <w:top w:val="dotted" w:color="4F81BD" w:sz="6" w:space="2"/>
        <w:left w:val="dotted" w:color="4F81BD" w:sz="6" w:space="2"/>
      </w:pBdr>
      <w:spacing w:before="300"/>
      <w:jc w:val="left"/>
      <w:outlineLvl w:val="3"/>
    </w:pPr>
    <w:rPr>
      <w:rFonts w:ascii="Calibri" w:hAnsi="Calibri"/>
      <w:caps/>
      <w:color w:val="365F91"/>
      <w:spacing w:val="10"/>
      <w:kern w:val="0"/>
      <w:sz w:val="22"/>
      <w:szCs w:val="22"/>
      <w:lang w:eastAsia="en-US" w:bidi="en-U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6">
    <w:name w:val="table of authorities"/>
    <w:basedOn w:val="1"/>
    <w:next w:val="1"/>
    <w:unhideWhenUsed/>
    <w:qFormat/>
    <w:uiPriority w:val="99"/>
    <w:pPr>
      <w:ind w:left="420" w:leftChars="200"/>
    </w:pPr>
  </w:style>
  <w:style w:type="paragraph" w:styleId="7">
    <w:name w:val="annotation text"/>
    <w:basedOn w:val="1"/>
    <w:semiHidden/>
    <w:unhideWhenUsed/>
    <w:qFormat/>
    <w:uiPriority w:val="99"/>
    <w:pPr>
      <w:jc w:val="left"/>
    </w:pPr>
  </w:style>
  <w:style w:type="paragraph" w:styleId="8">
    <w:name w:val="Body Text"/>
    <w:basedOn w:val="1"/>
    <w:next w:val="9"/>
    <w:link w:val="65"/>
    <w:unhideWhenUsed/>
    <w:qFormat/>
    <w:uiPriority w:val="99"/>
    <w:pPr>
      <w:spacing w:after="120"/>
    </w:pPr>
  </w:style>
  <w:style w:type="paragraph" w:customStyle="1" w:styleId="9">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styleId="10">
    <w:name w:val="Body Text Indent"/>
    <w:basedOn w:val="1"/>
    <w:link w:val="62"/>
    <w:qFormat/>
    <w:uiPriority w:val="0"/>
    <w:pPr>
      <w:ind w:firstLine="830" w:firstLineChars="352"/>
    </w:pPr>
    <w:rPr>
      <w:rFonts w:ascii="仿宋_GB2312" w:eastAsia="仿宋_GB2312"/>
      <w:sz w:val="32"/>
      <w:szCs w:val="20"/>
    </w:rPr>
  </w:style>
  <w:style w:type="paragraph" w:styleId="11">
    <w:name w:val="Plain Text"/>
    <w:basedOn w:val="1"/>
    <w:next w:val="5"/>
    <w:link w:val="61"/>
    <w:qFormat/>
    <w:uiPriority w:val="0"/>
    <w:rPr>
      <w:rFonts w:ascii="宋体" w:hAnsi="Courier New" w:cs="Courier New"/>
      <w:szCs w:val="21"/>
    </w:rPr>
  </w:style>
  <w:style w:type="paragraph" w:styleId="12">
    <w:name w:val="Balloon Text"/>
    <w:basedOn w:val="1"/>
    <w:link w:val="59"/>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unhideWhenUsed/>
    <w:qFormat/>
    <w:uiPriority w:val="0"/>
    <w:pPr>
      <w:ind w:left="200" w:leftChars="200" w:hanging="200" w:hangingChars="200"/>
    </w:pPr>
    <w:rPr>
      <w:sz w:val="28"/>
    </w:rPr>
  </w:style>
  <w:style w:type="paragraph" w:styleId="16">
    <w:name w:val="Body Text First Indent"/>
    <w:basedOn w:val="8"/>
    <w:link w:val="66"/>
    <w:semiHidden/>
    <w:unhideWhenUsed/>
    <w:qFormat/>
    <w:uiPriority w:val="99"/>
    <w:pPr>
      <w:ind w:firstLine="420" w:firstLineChars="100"/>
    </w:pPr>
  </w:style>
  <w:style w:type="table" w:styleId="18">
    <w:name w:val="Table Grid"/>
    <w:basedOn w:val="1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800080"/>
      <w:u w:val="single"/>
    </w:rPr>
  </w:style>
  <w:style w:type="character" w:styleId="21">
    <w:name w:val="Hyperlink"/>
    <w:basedOn w:val="19"/>
    <w:semiHidden/>
    <w:unhideWhenUsed/>
    <w:qFormat/>
    <w:uiPriority w:val="99"/>
    <w:rPr>
      <w:color w:val="0000FF"/>
      <w:u w:val="single"/>
    </w:rPr>
  </w:style>
  <w:style w:type="character" w:styleId="22">
    <w:name w:val="annotation reference"/>
    <w:basedOn w:val="19"/>
    <w:qFormat/>
    <w:uiPriority w:val="0"/>
    <w:rPr>
      <w:sz w:val="21"/>
      <w:szCs w:val="21"/>
    </w:rPr>
  </w:style>
  <w:style w:type="character" w:customStyle="1" w:styleId="23">
    <w:name w:val="页眉 Char"/>
    <w:basedOn w:val="19"/>
    <w:link w:val="14"/>
    <w:qFormat/>
    <w:uiPriority w:val="99"/>
    <w:rPr>
      <w:sz w:val="18"/>
      <w:szCs w:val="18"/>
    </w:rPr>
  </w:style>
  <w:style w:type="character" w:customStyle="1" w:styleId="24">
    <w:name w:val="页脚 Char"/>
    <w:basedOn w:val="19"/>
    <w:link w:val="13"/>
    <w:qFormat/>
    <w:uiPriority w:val="99"/>
    <w:rPr>
      <w:sz w:val="18"/>
      <w:szCs w:val="18"/>
    </w:rPr>
  </w:style>
  <w:style w:type="paragraph" w:customStyle="1" w:styleId="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0">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47">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49">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3">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5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6">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58">
    <w:name w:val="List Paragraph"/>
    <w:basedOn w:val="1"/>
    <w:qFormat/>
    <w:uiPriority w:val="34"/>
    <w:pPr>
      <w:ind w:firstLine="420" w:firstLineChars="200"/>
    </w:pPr>
  </w:style>
  <w:style w:type="character" w:customStyle="1" w:styleId="59">
    <w:name w:val="批注框文本 Char"/>
    <w:basedOn w:val="19"/>
    <w:link w:val="12"/>
    <w:semiHidden/>
    <w:qFormat/>
    <w:uiPriority w:val="99"/>
    <w:rPr>
      <w:rFonts w:ascii="Times New Roman" w:hAnsi="Times New Roman" w:eastAsia="宋体" w:cs="Times New Roman"/>
      <w:sz w:val="18"/>
      <w:szCs w:val="18"/>
    </w:rPr>
  </w:style>
  <w:style w:type="character" w:customStyle="1" w:styleId="60">
    <w:name w:val="纯文本 Char"/>
    <w:basedOn w:val="19"/>
    <w:qFormat/>
    <w:uiPriority w:val="0"/>
    <w:rPr>
      <w:rFonts w:ascii="宋体" w:hAnsi="Courier New" w:eastAsia="宋体" w:cs="Courier New"/>
      <w:szCs w:val="21"/>
    </w:rPr>
  </w:style>
  <w:style w:type="character" w:customStyle="1" w:styleId="61">
    <w:name w:val="纯文本 Char1"/>
    <w:basedOn w:val="19"/>
    <w:link w:val="11"/>
    <w:qFormat/>
    <w:uiPriority w:val="0"/>
    <w:rPr>
      <w:rFonts w:ascii="宋体" w:hAnsi="Courier New" w:eastAsia="宋体" w:cs="Courier New"/>
      <w:szCs w:val="21"/>
    </w:rPr>
  </w:style>
  <w:style w:type="character" w:customStyle="1" w:styleId="62">
    <w:name w:val="正文文本缩进 Char"/>
    <w:basedOn w:val="19"/>
    <w:link w:val="10"/>
    <w:qFormat/>
    <w:uiPriority w:val="0"/>
    <w:rPr>
      <w:rFonts w:ascii="仿宋_GB2312" w:hAnsi="Times New Roman" w:eastAsia="仿宋_GB2312" w:cs="Times New Roman"/>
      <w:sz w:val="32"/>
      <w:szCs w:val="20"/>
    </w:rPr>
  </w:style>
  <w:style w:type="character" w:customStyle="1" w:styleId="63">
    <w:name w:val="标题 2 Char"/>
    <w:basedOn w:val="19"/>
    <w:semiHidden/>
    <w:qFormat/>
    <w:uiPriority w:val="9"/>
    <w:rPr>
      <w:rFonts w:asciiTheme="majorHAnsi" w:hAnsiTheme="majorHAnsi" w:eastAsiaTheme="majorEastAsia" w:cstheme="majorBidi"/>
      <w:b/>
      <w:bCs/>
      <w:sz w:val="32"/>
      <w:szCs w:val="32"/>
    </w:rPr>
  </w:style>
  <w:style w:type="character" w:customStyle="1" w:styleId="64">
    <w:name w:val="标题 2 Char1"/>
    <w:basedOn w:val="19"/>
    <w:link w:val="4"/>
    <w:qFormat/>
    <w:uiPriority w:val="9"/>
    <w:rPr>
      <w:rFonts w:ascii="Cambria" w:hAnsi="Cambria" w:eastAsia="宋体" w:cs="Times New Roman"/>
      <w:b/>
      <w:bCs/>
      <w:sz w:val="32"/>
      <w:szCs w:val="32"/>
    </w:rPr>
  </w:style>
  <w:style w:type="character" w:customStyle="1" w:styleId="65">
    <w:name w:val="正文文本 Char"/>
    <w:basedOn w:val="19"/>
    <w:link w:val="8"/>
    <w:qFormat/>
    <w:uiPriority w:val="99"/>
    <w:rPr>
      <w:rFonts w:ascii="Times New Roman" w:hAnsi="Times New Roman" w:eastAsia="宋体" w:cs="Times New Roman"/>
      <w:szCs w:val="24"/>
    </w:rPr>
  </w:style>
  <w:style w:type="character" w:customStyle="1" w:styleId="66">
    <w:name w:val="正文首行缩进 Char"/>
    <w:basedOn w:val="65"/>
    <w:link w:val="16"/>
    <w:semiHidden/>
    <w:qFormat/>
    <w:uiPriority w:val="99"/>
    <w:rPr>
      <w:rFonts w:ascii="Times New Roman" w:hAnsi="Times New Roman" w:eastAsia="宋体" w:cs="Times New Roman"/>
      <w:szCs w:val="24"/>
    </w:rPr>
  </w:style>
  <w:style w:type="paragraph" w:customStyle="1" w:styleId="6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68">
    <w:name w:val="正文内容 Char"/>
    <w:link w:val="69"/>
    <w:qFormat/>
    <w:uiPriority w:val="5"/>
    <w:rPr>
      <w:rFonts w:ascii="Times New Roman" w:hAnsi="Times New Roman"/>
      <w:sz w:val="24"/>
      <w:szCs w:val="24"/>
    </w:rPr>
  </w:style>
  <w:style w:type="paragraph" w:customStyle="1" w:styleId="69">
    <w:name w:val="正文内容"/>
    <w:basedOn w:val="1"/>
    <w:link w:val="68"/>
    <w:qFormat/>
    <w:uiPriority w:val="5"/>
    <w:pPr>
      <w:adjustRightInd w:val="0"/>
      <w:spacing w:line="360" w:lineRule="auto"/>
      <w:ind w:firstLine="200" w:firstLineChars="200"/>
    </w:pPr>
    <w:rPr>
      <w:rFonts w:eastAsiaTheme="minorEastAsia" w:cstheme="minorBidi"/>
      <w:sz w:val="24"/>
    </w:rPr>
  </w:style>
  <w:style w:type="paragraph" w:customStyle="1" w:styleId="70">
    <w:name w:val="2ji"/>
    <w:basedOn w:val="4"/>
    <w:qFormat/>
    <w:uiPriority w:val="0"/>
    <w:pPr>
      <w:adjustRightInd w:val="0"/>
      <w:spacing w:before="0" w:after="0" w:line="360" w:lineRule="auto"/>
      <w:textAlignment w:val="baseline"/>
    </w:pPr>
    <w:rPr>
      <w:rFonts w:ascii="宋体" w:hAnsi="宋体"/>
      <w:kern w:val="0"/>
      <w:sz w:val="21"/>
      <w:szCs w:val="21"/>
    </w:rPr>
  </w:style>
  <w:style w:type="paragraph" w:customStyle="1" w:styleId="7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文本 21"/>
    <w:basedOn w:val="1"/>
    <w:qFormat/>
    <w:uiPriority w:val="0"/>
    <w:pPr>
      <w:spacing w:after="120" w:line="480" w:lineRule="auto"/>
    </w:pPr>
  </w:style>
  <w:style w:type="paragraph" w:customStyle="1" w:styleId="74">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793D16-8184-470E-803D-664054989F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7552</Words>
  <Characters>7832</Characters>
  <Lines>72</Lines>
  <Paragraphs>20</Paragraphs>
  <TotalTime>14</TotalTime>
  <ScaleCrop>false</ScaleCrop>
  <LinksUpToDate>false</LinksUpToDate>
  <CharactersWithSpaces>9228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2023-07-28T08:45:00Z</dcterms:created>
  <dc:creator>lenovo</dc:creator>
  <cp:lastModifiedBy>WPS_1648709995</cp:lastModifiedBy>
  <cp:lastPrinted>2021-11-08T03:25:00Z</cp:lastPrinted>
  <dcterms:modified xsi:type="dcterms:W3CDTF">2023-08-01T01:57:53Z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958527779_btnclosed</vt:lpwstr>
  </property>
  <property fmtid="{D5CDD505-2E9C-101B-9397-08002B2CF9AE}" pid="4" name="ICV">
    <vt:lpwstr>89EEC3CDE1564547B0FDE38AFF351EA1_13</vt:lpwstr>
  </property>
</Properties>
</file>