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9F" w:rsidRDefault="002A499F" w:rsidP="002A499F">
      <w:pPr>
        <w:spacing w:line="4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2A499F" w:rsidRDefault="002A499F" w:rsidP="002A499F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广西工商职业技术学院2023年招聘重点领域急需紧缺高层次人才岗位信息表</w:t>
      </w:r>
    </w:p>
    <w:tbl>
      <w:tblPr>
        <w:tblW w:w="15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758"/>
        <w:gridCol w:w="661"/>
        <w:gridCol w:w="685"/>
        <w:gridCol w:w="2449"/>
        <w:gridCol w:w="1224"/>
        <w:gridCol w:w="708"/>
        <w:gridCol w:w="1276"/>
        <w:gridCol w:w="992"/>
        <w:gridCol w:w="1134"/>
        <w:gridCol w:w="709"/>
        <w:gridCol w:w="851"/>
        <w:gridCol w:w="3595"/>
      </w:tblGrid>
      <w:tr w:rsidR="002A499F" w:rsidTr="00CD6850">
        <w:trPr>
          <w:trHeight w:val="907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岗位序号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职称或职业资格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政治</w:t>
            </w:r>
          </w:p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其他</w:t>
            </w:r>
          </w:p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条件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考试</w:t>
            </w:r>
          </w:p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方式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用人方式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专任教师1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政治学类、经济学类、会计学类、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审计学类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、计算机科学与技术类、工商管理类、食品科学与工程类、艺术类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研究生学历具有博士学位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实名</w:t>
            </w:r>
          </w:p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编制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待遇：</w:t>
            </w:r>
          </w:p>
          <w:p w:rsidR="002A499F" w:rsidRDefault="002A499F" w:rsidP="00CD685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1.符合广西编制及事业单位人事管理相关规定的，可按规定程序纳入事业编制或自治区高层次人才专项编制管理。</w:t>
            </w:r>
          </w:p>
          <w:p w:rsidR="002A499F" w:rsidRDefault="002A499F" w:rsidP="00CD685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2.根据学院专业紧缺程度、应聘者条件等因素提供高层次人才引进奖励（安家费）20-60万元（税前），具体待遇面议商谈。</w:t>
            </w:r>
          </w:p>
          <w:p w:rsidR="002A499F" w:rsidRDefault="002A499F" w:rsidP="00CD685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3.每月除工资外，发放高层次人才奖励1000 元/月。</w:t>
            </w:r>
          </w:p>
          <w:p w:rsidR="002A499F" w:rsidRDefault="002A499F" w:rsidP="00CD685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4.无副教授职称的博士研究生到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校工作可在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三年过渡期内享受专业技术岗位七级(副高级职称）奖励性绩效待遇，三年过渡期后个人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未获评副高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及以上职称的，则调整为实际的职称待遇。</w:t>
            </w:r>
          </w:p>
          <w:p w:rsidR="002A499F" w:rsidRDefault="002A499F" w:rsidP="00CD685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5.符合广西相关政策性住房购房规定者优先购买我院政策性住房。</w:t>
            </w:r>
          </w:p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6.根据学院招聘岗位的实际需求，配偶符合人员调动相关政策要求的，可优先安排。</w:t>
            </w: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专任教师2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马克思主义理论类、哲学类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研究生学历具有博士学位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中共党员（含中共预备党员）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实名</w:t>
            </w:r>
          </w:p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编制</w:t>
            </w: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思政类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马克思主义基本原理、马克思主义发展史、马克思主义中国化研究、国外马</w:t>
            </w: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克思主义研究、思想政治教育、中国近现代史基本问题研究、马克思主义理论、马克思主义哲学、宪法学与行政法学、政治学理论、科学社会主义与国际共产主义运动、中共党史（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含党的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学说与党的建设）、国际政治、国际关系、马克思主义理论与思想政治教育、政治学、中国近现代史、历史学、中国史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lastRenderedPageBreak/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中共党员（含中共预备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党员）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本科所学专业应为马克思主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义理论类专业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审计类教师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审计理论研究,政府审计理论与实务,内部控制与内部审计,独立审计与实务,审计,审计硕士（专业硕士）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管理类教师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统计学、经济管理统计、经济统计与分析、技术经济及管理、人工智能，大数据管理与应用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物流类教师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交通信息工程与控制、交通运输规划与管理、交通运输工程、车辆工程、机械工程、物流工程与管理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电子商务类教师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272074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市场营销、电子商务类、计算机科学与技术类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国际经济与贸易专业教师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国际经济与贸易、跨境电子商务、商务英语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本科学历具有学士学位及以上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硕士研究生及以上学历学位，职称不限；本科学历要求中级及以上职称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设计类教师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艺术设计（数字媒体艺术方向、网络与新媒体方向、视觉传达与数字媒体设计方向、西南民族传统建筑与现代环境艺术设计方向、室内设计方向、环境设计方向、景观设计方向）；</w:t>
            </w:r>
          </w:p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设计学（数字媒体艺术方向、网络与新媒体方向、视觉传达与数字媒体设计方向、视觉传达设计方向、室内设计方向、环境设计方向、景观设计方向）；</w:t>
            </w:r>
          </w:p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设计（数字媒体艺术方向、</w:t>
            </w: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网络与新媒体方向、视觉传达与数字媒体设计方向、室内设计方向、环境设计方向、景观设计方向）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lastRenderedPageBreak/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计算机类教师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计算机科学与技术类、电气、电子及自动化类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粮油化工类教师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食品科学与工程类、生物工程、发酵工程、化学、精细化工、材料科学与工程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2A499F" w:rsidTr="00CD6850">
        <w:trPr>
          <w:trHeight w:val="9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辅导员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心理学类、教育学类、艺术设计硕士（专业硕士）</w:t>
            </w:r>
            <w:bookmarkStart w:id="0" w:name="_GoBack"/>
            <w:r w:rsidR="008F1760">
              <w:rPr>
                <w:rFonts w:ascii="仿宋" w:eastAsia="仿宋" w:hAnsi="仿宋" w:hint="eastAsia"/>
                <w:sz w:val="20"/>
                <w:szCs w:val="20"/>
              </w:rPr>
              <w:t>、设计学、设计</w:t>
            </w:r>
            <w:bookmarkEnd w:id="0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  <w:lang w:bidi="mn-Mong-CN"/>
              </w:rPr>
              <w:t>研究生学历具有硕士学位及以上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中共党员（含中共预备党员）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9F" w:rsidRDefault="002A499F" w:rsidP="00CD68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</w:tbl>
    <w:p w:rsidR="002A499F" w:rsidRDefault="002A499F" w:rsidP="002A499F">
      <w:pPr>
        <w:spacing w:line="360" w:lineRule="exac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备注：1.专业名称参照《广西壮族自治区公务员考试专业分类指导目录》；</w:t>
      </w:r>
    </w:p>
    <w:p w:rsidR="00F1312B" w:rsidRDefault="002A499F" w:rsidP="002A499F">
      <w:r>
        <w:rPr>
          <w:rFonts w:ascii="仿宋_GB2312" w:eastAsia="仿宋_GB2312" w:hAnsi="仿宋" w:hint="eastAsia"/>
          <w:kern w:val="0"/>
          <w:sz w:val="24"/>
          <w:szCs w:val="30"/>
        </w:rPr>
        <w:t>2.岗位1-2应聘人员为编制内人员，符合人员调动相关政策要求的，经双方单位及主管单位同意，可采取商调的形式引进。</w:t>
      </w:r>
    </w:p>
    <w:sectPr w:rsidR="00F1312B" w:rsidSect="002A499F">
      <w:pgSz w:w="16838" w:h="11906" w:orient="landscape"/>
      <w:pgMar w:top="1077" w:right="737" w:bottom="90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9F"/>
    <w:rsid w:val="00272074"/>
    <w:rsid w:val="002A499F"/>
    <w:rsid w:val="008F1760"/>
    <w:rsid w:val="00F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3</cp:revision>
  <dcterms:created xsi:type="dcterms:W3CDTF">2023-09-07T08:08:00Z</dcterms:created>
  <dcterms:modified xsi:type="dcterms:W3CDTF">2023-09-09T12:13:00Z</dcterms:modified>
</cp:coreProperties>
</file>