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05" w:rsidRPr="00D51D43" w:rsidRDefault="007B4D05" w:rsidP="007B4D05">
      <w:pPr>
        <w:spacing w:line="460" w:lineRule="exact"/>
        <w:rPr>
          <w:rFonts w:ascii="黑体" w:eastAsia="黑体" w:hAnsi="黑体" w:cs="仿宋"/>
          <w:sz w:val="32"/>
          <w:szCs w:val="32"/>
        </w:rPr>
      </w:pPr>
      <w:r w:rsidRPr="00D51D43">
        <w:rPr>
          <w:rFonts w:ascii="黑体" w:eastAsia="黑体" w:hAnsi="黑体" w:cs="仿宋" w:hint="eastAsia"/>
          <w:sz w:val="32"/>
          <w:szCs w:val="32"/>
        </w:rPr>
        <w:t>附件</w:t>
      </w:r>
      <w:r w:rsidR="00E3704D">
        <w:rPr>
          <w:rFonts w:ascii="黑体" w:eastAsia="黑体" w:hAnsi="黑体" w:cs="仿宋" w:hint="eastAsia"/>
          <w:sz w:val="32"/>
          <w:szCs w:val="32"/>
        </w:rPr>
        <w:t>1</w:t>
      </w:r>
    </w:p>
    <w:p w:rsidR="00554BCD" w:rsidRDefault="007B4D05" w:rsidP="007B4D05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 w:rsidRPr="00D51D43">
        <w:rPr>
          <w:rFonts w:ascii="方正小标宋简体" w:eastAsia="方正小标宋简体" w:hAnsi="仿宋" w:cs="仿宋" w:hint="eastAsia"/>
          <w:sz w:val="36"/>
          <w:szCs w:val="36"/>
        </w:rPr>
        <w:t>广西</w:t>
      </w:r>
      <w:bookmarkStart w:id="0" w:name="_GoBack"/>
      <w:bookmarkEnd w:id="0"/>
      <w:r w:rsidRPr="00D51D43">
        <w:rPr>
          <w:rFonts w:ascii="方正小标宋简体" w:eastAsia="方正小标宋简体" w:hAnsi="仿宋" w:cs="仿宋" w:hint="eastAsia"/>
          <w:sz w:val="36"/>
          <w:szCs w:val="36"/>
        </w:rPr>
        <w:t>工商职业技术学院202</w:t>
      </w:r>
      <w:r w:rsidR="001A1AA1">
        <w:rPr>
          <w:rFonts w:ascii="方正小标宋简体" w:eastAsia="方正小标宋简体" w:hAnsi="仿宋" w:cs="仿宋" w:hint="eastAsia"/>
          <w:sz w:val="36"/>
          <w:szCs w:val="36"/>
        </w:rPr>
        <w:t>2</w:t>
      </w:r>
      <w:r w:rsidRPr="00D51D43">
        <w:rPr>
          <w:rFonts w:ascii="方正小标宋简体" w:eastAsia="方正小标宋简体" w:hAnsi="仿宋" w:cs="仿宋" w:hint="eastAsia"/>
          <w:sz w:val="36"/>
          <w:szCs w:val="36"/>
        </w:rPr>
        <w:t>年高层次人才</w:t>
      </w:r>
    </w:p>
    <w:p w:rsidR="007B4D05" w:rsidRPr="00D51D43" w:rsidRDefault="00554BCD" w:rsidP="007B4D05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（博士人才、正高级职称人才等）</w:t>
      </w:r>
      <w:r w:rsidR="007B4D05" w:rsidRPr="00D51D43">
        <w:rPr>
          <w:rFonts w:ascii="方正小标宋简体" w:eastAsia="方正小标宋简体" w:hAnsi="仿宋" w:cs="仿宋" w:hint="eastAsia"/>
          <w:sz w:val="36"/>
          <w:szCs w:val="36"/>
        </w:rPr>
        <w:t>岗位信息表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8"/>
        <w:gridCol w:w="3432"/>
        <w:gridCol w:w="5857"/>
      </w:tblGrid>
      <w:tr w:rsidR="007B4D05" w:rsidRPr="00D51D43" w:rsidTr="00D1481D">
        <w:trPr>
          <w:trHeight w:val="600"/>
          <w:tblHeader/>
          <w:jc w:val="center"/>
        </w:trPr>
        <w:tc>
          <w:tcPr>
            <w:tcW w:w="15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D05" w:rsidRPr="00D51D43" w:rsidRDefault="007B4D05" w:rsidP="00D148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  <w:lang w:bidi="mn-Mong-CN"/>
              </w:rPr>
              <w:t>招聘类别</w:t>
            </w:r>
          </w:p>
        </w:tc>
        <w:tc>
          <w:tcPr>
            <w:tcW w:w="34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D05" w:rsidRPr="00D51D43" w:rsidRDefault="007B4D05" w:rsidP="00D148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  <w:lang w:bidi="mn-Mong-CN"/>
              </w:rPr>
              <w:t>招聘条件</w:t>
            </w:r>
          </w:p>
        </w:tc>
        <w:tc>
          <w:tcPr>
            <w:tcW w:w="5857" w:type="dxa"/>
            <w:shd w:val="clear" w:color="auto" w:fill="FFFFFF"/>
            <w:vAlign w:val="center"/>
          </w:tcPr>
          <w:p w:rsidR="007B4D05" w:rsidRPr="00D51D43" w:rsidRDefault="007B4D05" w:rsidP="00D1481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  <w:lang w:bidi="mn-Mong-CN"/>
              </w:rPr>
              <w:t>待遇</w:t>
            </w:r>
          </w:p>
        </w:tc>
      </w:tr>
      <w:tr w:rsidR="007B4D05" w:rsidRPr="00D51D43" w:rsidTr="00D1481D">
        <w:trPr>
          <w:trHeight w:val="733"/>
          <w:jc w:val="center"/>
        </w:trPr>
        <w:tc>
          <w:tcPr>
            <w:tcW w:w="15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B4D05" w:rsidRPr="00D51D43" w:rsidRDefault="007B4D05" w:rsidP="00D1481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自治区级高层次</w:t>
            </w:r>
          </w:p>
          <w:p w:rsidR="007B4D05" w:rsidRPr="00D51D43" w:rsidRDefault="007B4D05" w:rsidP="00D1481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人才</w:t>
            </w:r>
          </w:p>
        </w:tc>
        <w:tc>
          <w:tcPr>
            <w:tcW w:w="34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自治区认定的E层次及以上高层次人才，原则上年龄不超过50周岁。粮油食品类、工商管理类、财会类、</w:t>
            </w:r>
            <w:proofErr w:type="gramStart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思政类</w:t>
            </w:r>
            <w:proofErr w:type="gramEnd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、设计类专业人员优先。</w:t>
            </w:r>
          </w:p>
        </w:tc>
        <w:tc>
          <w:tcPr>
            <w:tcW w:w="5857" w:type="dxa"/>
            <w:shd w:val="clear" w:color="auto" w:fill="FFFFFF"/>
          </w:tcPr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1.</w:t>
            </w:r>
            <w:r w:rsidRPr="006938BB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符合自治区编制及事业单位人事管理相关规定的，可按规定程序纳入事业编制或自治区高层次人才专项编制管理。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2.根据学院专业紧缺程度、应聘者条件等因素提供高层次人才引进奖励（安家费）20-60万元（税前），具体待遇面议商谈。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3.每月除奖励性绩效工资外，发放高层次人才奖励1000 元/月。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4.符合自治区相关购房规定者优先购买我院政策性住房。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5.根据学院招聘岗位的实际需求，配偶符合调动者，可优先安排。</w:t>
            </w:r>
          </w:p>
        </w:tc>
      </w:tr>
      <w:tr w:rsidR="007B4D05" w:rsidRPr="00D51D43" w:rsidTr="00D1481D">
        <w:trPr>
          <w:trHeight w:val="766"/>
          <w:jc w:val="center"/>
        </w:trPr>
        <w:tc>
          <w:tcPr>
            <w:tcW w:w="15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D05" w:rsidRPr="00D51D43" w:rsidRDefault="007B4D05" w:rsidP="00D148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博士人才</w:t>
            </w:r>
          </w:p>
        </w:tc>
        <w:tc>
          <w:tcPr>
            <w:tcW w:w="34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D05" w:rsidRPr="00D51D43" w:rsidRDefault="007B4D05" w:rsidP="00D1481D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博士研究生，原则上年龄不超过50周岁。粮油食品类、工商管理类、财会类、</w:t>
            </w:r>
            <w:proofErr w:type="gramStart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思政类</w:t>
            </w:r>
            <w:proofErr w:type="gramEnd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、设计类专业人员优先。</w:t>
            </w:r>
          </w:p>
        </w:tc>
        <w:tc>
          <w:tcPr>
            <w:tcW w:w="5857" w:type="dxa"/>
            <w:shd w:val="clear" w:color="auto" w:fill="FFFFFF"/>
          </w:tcPr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6938BB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符合自治区编制及事业单位人事管理相关规定的，可按规定程序纳入事业编制或自治区高层次人才专项编制管理。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2.根据学院专业紧缺程度、应聘者条件等因素提供高层次人才引进奖励（安家费）20-60万元（税前），具体待遇面议商谈。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3.每月除工资外，发放高层次人才奖励1000 元/月。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4.无副教授职称的博士研究生到</w:t>
            </w:r>
            <w:proofErr w:type="gramStart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校工作可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在</w:t>
            </w:r>
            <w:proofErr w:type="gramEnd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三年过渡期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内享受专业技术岗位七级奖励性绩效</w:t>
            </w: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待遇，三年过渡期后个人</w:t>
            </w:r>
            <w:proofErr w:type="gramStart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未获评副高</w:t>
            </w:r>
            <w:proofErr w:type="gramEnd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及以上职称的，</w:t>
            </w:r>
            <w:r w:rsidRPr="006938BB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则调整为实际的职称待遇。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5.符合自治区相关购房规定者优先购买我院政策性住房。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6.根据学院招聘岗位的实际需求，配偶符合调动者，可优先安排。</w:t>
            </w:r>
          </w:p>
        </w:tc>
      </w:tr>
      <w:tr w:rsidR="007B4D05" w:rsidRPr="00D51D43" w:rsidTr="00D1481D">
        <w:trPr>
          <w:trHeight w:val="830"/>
          <w:jc w:val="center"/>
        </w:trPr>
        <w:tc>
          <w:tcPr>
            <w:tcW w:w="15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B4D05" w:rsidRPr="00D51D43" w:rsidRDefault="007B4D05" w:rsidP="00D1481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高技能</w:t>
            </w:r>
          </w:p>
          <w:p w:rsidR="007B4D05" w:rsidRPr="00D51D43" w:rsidRDefault="007B4D05" w:rsidP="00D1481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人才</w:t>
            </w:r>
          </w:p>
        </w:tc>
        <w:tc>
          <w:tcPr>
            <w:tcW w:w="34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B4D05" w:rsidRPr="00D51D43" w:rsidRDefault="007B4D05" w:rsidP="00D1481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1.获省级(自治区级)技术能手称号的技能人才。</w:t>
            </w:r>
          </w:p>
          <w:p w:rsidR="007B4D05" w:rsidRDefault="007B4D05" w:rsidP="00D1481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2.非遗文化传承人。</w:t>
            </w:r>
          </w:p>
          <w:p w:rsidR="007B4D05" w:rsidRPr="00D51D43" w:rsidRDefault="007B4D05" w:rsidP="00D1481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以上人才原则上年龄不超</w:t>
            </w: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lastRenderedPageBreak/>
              <w:t>过50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周岁</w:t>
            </w: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。粮油食品类、工商管理类、财会类、</w:t>
            </w:r>
            <w:proofErr w:type="gramStart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思政类</w:t>
            </w:r>
            <w:proofErr w:type="gramEnd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、设计类专业人员优先。</w:t>
            </w:r>
          </w:p>
        </w:tc>
        <w:tc>
          <w:tcPr>
            <w:tcW w:w="5857" w:type="dxa"/>
            <w:shd w:val="clear" w:color="auto" w:fill="FFFFFF"/>
            <w:vAlign w:val="center"/>
          </w:tcPr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lastRenderedPageBreak/>
              <w:t>1.</w:t>
            </w:r>
            <w:r w:rsidRPr="006938BB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符合自治区编制及事业单位人事管理相关规定的，可按规定程序纳入事业编制或自治区高层次人才专项编制管理。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2.根据学院专业紧缺程度、应聘者条件等因素提</w:t>
            </w: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lastRenderedPageBreak/>
              <w:t>供高层次人才引进奖励10-30万元（税前），具体待遇面议商谈。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3.符合自治区相关购房规定者优先购买我院政策性住房。</w:t>
            </w:r>
          </w:p>
        </w:tc>
      </w:tr>
      <w:tr w:rsidR="007B4D05" w:rsidRPr="00D51D43" w:rsidTr="00D1481D">
        <w:trPr>
          <w:trHeight w:val="1785"/>
          <w:jc w:val="center"/>
        </w:trPr>
        <w:tc>
          <w:tcPr>
            <w:tcW w:w="15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D05" w:rsidRPr="00D51D43" w:rsidRDefault="007B4D05" w:rsidP="00D148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lastRenderedPageBreak/>
              <w:t>其他高层次人才</w:t>
            </w:r>
          </w:p>
        </w:tc>
        <w:tc>
          <w:tcPr>
            <w:tcW w:w="34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D05" w:rsidRDefault="007B4D05" w:rsidP="00D1481D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1.取得正高级职称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。</w:t>
            </w:r>
          </w:p>
          <w:p w:rsidR="007B4D05" w:rsidRPr="00D51D43" w:rsidRDefault="007B4D05" w:rsidP="00D1481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  <w:lang w:bidi="mn-Mong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2.</w:t>
            </w: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近5年在区内外大型企业担任高级职务人员。</w:t>
            </w:r>
          </w:p>
          <w:p w:rsidR="007B4D05" w:rsidRPr="00D51D43" w:rsidRDefault="007B4D05" w:rsidP="00D1481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以上人才年龄原则上不超过50周岁。粮油食品类、工商管理类、财会类、</w:t>
            </w:r>
            <w:proofErr w:type="gramStart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思政类</w:t>
            </w:r>
            <w:proofErr w:type="gramEnd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、设计类专业人员优先。</w:t>
            </w:r>
          </w:p>
        </w:tc>
        <w:tc>
          <w:tcPr>
            <w:tcW w:w="5857" w:type="dxa"/>
            <w:shd w:val="clear" w:color="auto" w:fill="FFFFFF"/>
            <w:vAlign w:val="center"/>
          </w:tcPr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1.</w:t>
            </w:r>
            <w:r w:rsidRPr="006938BB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符合自治区编制及事业单位人事管理相关规定的，可按规定程序纳入事业编制或自治区高层次人才专项编制管理。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2.根据学院专业紧缺程度、应聘者条件等因素提供高层次人才引进奖励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10</w:t>
            </w: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30</w:t>
            </w: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万元（税前），具体待遇面议商谈。</w:t>
            </w:r>
          </w:p>
          <w:p w:rsidR="007B4D05" w:rsidRPr="00D51D43" w:rsidRDefault="007B4D05" w:rsidP="00D1481D">
            <w:pPr>
              <w:widowControl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3.符合自治区相关购房规定者优先购买我院政策性住房。</w:t>
            </w:r>
          </w:p>
        </w:tc>
      </w:tr>
      <w:tr w:rsidR="007B4D05" w:rsidRPr="00D51D43" w:rsidTr="00D1481D">
        <w:trPr>
          <w:trHeight w:val="1535"/>
          <w:jc w:val="center"/>
        </w:trPr>
        <w:tc>
          <w:tcPr>
            <w:tcW w:w="10867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D05" w:rsidRPr="00D51D43" w:rsidRDefault="007B4D05" w:rsidP="00D1481D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其它：</w:t>
            </w:r>
          </w:p>
          <w:p w:rsidR="007B4D05" w:rsidRPr="00D51D43" w:rsidRDefault="007B4D05" w:rsidP="00D1481D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1.如有其它特殊技能、取得突出成绩、</w:t>
            </w:r>
            <w:proofErr w:type="gramStart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作出</w:t>
            </w:r>
            <w:proofErr w:type="gramEnd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突出贡献的，相关待遇可面议。</w:t>
            </w:r>
          </w:p>
          <w:p w:rsidR="007B4D05" w:rsidRPr="00D51D43" w:rsidRDefault="007B4D05" w:rsidP="00D1481D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2.应聘者不满足以上所列岗位条件，但学术或技能影响力和水平达到相应标准的，经我院研究通过后也可</w:t>
            </w:r>
            <w:proofErr w:type="gramStart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聘入相应</w:t>
            </w:r>
            <w:proofErr w:type="gramEnd"/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层次的岗位。</w:t>
            </w:r>
          </w:p>
          <w:p w:rsidR="007B4D05" w:rsidRPr="00E740A7" w:rsidRDefault="007B4D05" w:rsidP="00D1481D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  <w:lang w:bidi="mn-Mong-CN"/>
              </w:rPr>
            </w:pP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 xml:space="preserve"> 企业规模大小由学院认定。</w:t>
            </w:r>
            <w:r w:rsidRPr="00D51D43">
              <w:rPr>
                <w:rFonts w:ascii="仿宋" w:eastAsia="仿宋" w:hAnsi="仿宋" w:cs="宋体" w:hint="eastAsia"/>
                <w:kern w:val="0"/>
                <w:sz w:val="28"/>
                <w:szCs w:val="28"/>
                <w:lang w:bidi="mn-Mong-CN"/>
              </w:rPr>
              <w:t>企业高级职务人员一般包括：法定代表人、正副董事长、董事、监事、正副经理（总裁）、总会计师（财务总监）、上市公司董事会秘书等。</w:t>
            </w:r>
          </w:p>
        </w:tc>
      </w:tr>
    </w:tbl>
    <w:p w:rsidR="007B4D05" w:rsidRDefault="007B4D05" w:rsidP="007B4D05">
      <w:pPr>
        <w:spacing w:line="460" w:lineRule="exact"/>
        <w:rPr>
          <w:rFonts w:ascii="黑体" w:eastAsia="黑体" w:hAnsi="黑体" w:cs="仿宋"/>
          <w:sz w:val="32"/>
          <w:szCs w:val="32"/>
        </w:rPr>
      </w:pPr>
    </w:p>
    <w:p w:rsidR="008A4B2B" w:rsidRPr="007B4D05" w:rsidRDefault="008A4B2B"/>
    <w:sectPr w:rsidR="008A4B2B" w:rsidRPr="007B4D05" w:rsidSect="007B4D0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05"/>
    <w:rsid w:val="001A1AA1"/>
    <w:rsid w:val="001D2EC5"/>
    <w:rsid w:val="00554BCD"/>
    <w:rsid w:val="007B4D05"/>
    <w:rsid w:val="008A4B2B"/>
    <w:rsid w:val="00E3704D"/>
    <w:rsid w:val="00F0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邓肖</dc:creator>
  <cp:lastModifiedBy>韦书菲</cp:lastModifiedBy>
  <cp:revision>7</cp:revision>
  <dcterms:created xsi:type="dcterms:W3CDTF">2021-06-15T02:18:00Z</dcterms:created>
  <dcterms:modified xsi:type="dcterms:W3CDTF">2022-04-04T01:06:00Z</dcterms:modified>
</cp:coreProperties>
</file>