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0"/>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sz w:val="84"/>
          <w:szCs w:val="84"/>
        </w:rPr>
      </w:pPr>
    </w:p>
    <w:p>
      <w:pPr>
        <w:pStyle w:val="10"/>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0"/>
        <w:spacing w:line="500" w:lineRule="exact"/>
        <w:jc w:val="center"/>
        <w:rPr>
          <w:rFonts w:hAnsi="宋体"/>
        </w:rPr>
      </w:pPr>
    </w:p>
    <w:p>
      <w:pPr>
        <w:pStyle w:val="10"/>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6"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spacing w:line="900" w:lineRule="exact"/>
        <w:ind w:firstLine="361" w:firstLineChars="100"/>
        <w:rPr>
          <w:rFonts w:ascii="仿宋" w:hAnsi="仿宋" w:cs="仿宋"/>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kern w:val="0"/>
          <w:sz w:val="36"/>
          <w:szCs w:val="36"/>
          <w:u w:val="single"/>
        </w:rPr>
        <w:t xml:space="preserve"> 广西工商职业技术学院购买多糖凝胶纯化设备项目</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 xml:space="preserve">2023年11月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15:color w:val="DBDBDB"/>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b/>
              <w:bCs/>
              <w:sz w:val="32"/>
              <w:szCs w:val="32"/>
            </w:rPr>
          </w:pPr>
          <w:r>
            <w:rPr>
              <w:rFonts w:hint="eastAsia" w:ascii="宋体" w:hAnsi="宋体" w:cs="宋体"/>
              <w:b/>
              <w:bCs/>
              <w:sz w:val="32"/>
              <w:szCs w:val="32"/>
            </w:rPr>
            <w:t>目录</w:t>
          </w:r>
        </w:p>
        <w:p>
          <w:pPr>
            <w:pStyle w:val="75"/>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8</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pPr>
            <w:pStyle w:val="75"/>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2"/>
        <w:ind w:firstLine="2800" w:firstLineChars="700"/>
        <w:rPr>
          <w:b w:val="0"/>
          <w:bCs/>
          <w:sz w:val="40"/>
          <w:szCs w:val="22"/>
        </w:rPr>
      </w:pPr>
      <w:bookmarkStart w:id="1" w:name="_Toc4522"/>
    </w:p>
    <w:p/>
    <w:p>
      <w:pPr>
        <w:jc w:val="center"/>
        <w:rPr>
          <w:bCs/>
          <w:sz w:val="40"/>
          <w:szCs w:val="22"/>
        </w:rPr>
      </w:pPr>
      <w:r>
        <w:rPr>
          <w:rFonts w:hint="eastAsia"/>
          <w:bCs/>
          <w:sz w:val="40"/>
          <w:szCs w:val="22"/>
        </w:rPr>
        <w:br w:type="page"/>
      </w:r>
    </w:p>
    <w:p>
      <w:pPr>
        <w:pStyle w:val="2"/>
        <w:ind w:firstLine="2800" w:firstLineChars="700"/>
        <w:jc w:val="left"/>
        <w:rPr>
          <w:rFonts w:asciiTheme="majorEastAsia" w:hAnsiTheme="majorEastAsia" w:cstheme="minorBidi"/>
          <w:sz w:val="36"/>
          <w:szCs w:val="36"/>
        </w:rPr>
      </w:pPr>
      <w:r>
        <w:rPr>
          <w:rFonts w:hint="eastAsia"/>
          <w:b w:val="0"/>
          <w:bCs/>
          <w:sz w:val="40"/>
          <w:szCs w:val="22"/>
        </w:rPr>
        <w:t>第一章 项目</w:t>
      </w:r>
      <w:bookmarkEnd w:id="1"/>
      <w:r>
        <w:rPr>
          <w:rFonts w:hint="eastAsia"/>
          <w:b w:val="0"/>
          <w:bCs/>
          <w:sz w:val="40"/>
          <w:szCs w:val="22"/>
        </w:rPr>
        <w:t>公告</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项目名称：广西工商职业技术学院购买多糖凝胶纯化设备项目</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项目预算：人民币贰拾叁万元整（￥230,000</w:t>
      </w:r>
      <w:r>
        <w:rPr>
          <w:rFonts w:asciiTheme="minorEastAsia" w:hAnsiTheme="minorEastAsia" w:eastAsiaTheme="minorEastAsia" w:cstheme="minorBidi"/>
          <w:sz w:val="28"/>
          <w:szCs w:val="28"/>
        </w:rPr>
        <w:t>.00</w:t>
      </w:r>
      <w:r>
        <w:rPr>
          <w:rFonts w:hint="eastAsia" w:asciiTheme="minorEastAsia" w:hAnsiTheme="minorEastAsia" w:eastAsiaTheme="minorEastAsia" w:cstheme="minorBidi"/>
          <w:sz w:val="28"/>
          <w:szCs w:val="28"/>
        </w:rPr>
        <w:t>）。</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三、采购内容</w:t>
      </w:r>
    </w:p>
    <w:p>
      <w:pPr>
        <w:widowControl/>
        <w:ind w:firstLine="560" w:firstLineChars="200"/>
        <w:jc w:val="left"/>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凝胶纯化设备1套，具体参数详见附件。</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1、具备《中华人民共和国政府采购法》第二十二条规定的条件。</w:t>
      </w:r>
    </w:p>
    <w:p>
      <w:pPr>
        <w:spacing w:line="500" w:lineRule="exact"/>
        <w:ind w:firstLine="560" w:firstLineChars="200"/>
        <w:rPr>
          <w:rFonts w:asciiTheme="minorEastAsia" w:hAnsiTheme="minorEastAsia"/>
          <w:sz w:val="28"/>
          <w:szCs w:val="28"/>
        </w:rPr>
      </w:pPr>
      <w:r>
        <w:rPr>
          <w:rFonts w:hint="eastAsia" w:asciiTheme="minorEastAsia" w:hAnsiTheme="minorEastAsia" w:eastAsiaTheme="minorEastAsia" w:cstheme="minorBidi"/>
          <w:sz w:val="28"/>
          <w:szCs w:val="28"/>
        </w:rPr>
        <w:t>2、</w:t>
      </w:r>
      <w:r>
        <w:rPr>
          <w:rFonts w:hint="eastAsia" w:asciiTheme="minorEastAsia" w:hAnsiTheme="minorEastAsia"/>
          <w:sz w:val="28"/>
          <w:szCs w:val="28"/>
        </w:rPr>
        <w:t>要求具</w:t>
      </w:r>
      <w:r>
        <w:rPr>
          <w:rFonts w:asciiTheme="minorEastAsia" w:hAnsiTheme="minorEastAsia"/>
          <w:sz w:val="28"/>
          <w:szCs w:val="28"/>
        </w:rPr>
        <w:t>有国内注册（指按国家有关规定要求注册的）</w:t>
      </w:r>
      <w:r>
        <w:rPr>
          <w:rFonts w:hint="eastAsia" w:asciiTheme="minorEastAsia" w:hAnsiTheme="minorEastAsia"/>
          <w:sz w:val="28"/>
          <w:szCs w:val="28"/>
        </w:rPr>
        <w:t>，具有提供</w:t>
      </w:r>
      <w:r>
        <w:rPr>
          <w:rFonts w:asciiTheme="minorEastAsia" w:hAnsiTheme="minorEastAsia"/>
          <w:sz w:val="28"/>
          <w:szCs w:val="28"/>
        </w:rPr>
        <w:t>本次采购货物</w:t>
      </w:r>
      <w:r>
        <w:rPr>
          <w:rFonts w:hint="eastAsia" w:asciiTheme="minorEastAsia" w:hAnsiTheme="minorEastAsia"/>
          <w:sz w:val="28"/>
          <w:szCs w:val="28"/>
        </w:rPr>
        <w:t>及服务能力的供应商。</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w:t>
      </w:r>
      <w:r>
        <w:rPr>
          <w:rFonts w:asciiTheme="minorEastAsia" w:hAnsiTheme="minorEastAsia" w:eastAsia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4、本项目不接受联合体投标。</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五、报名材料</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（一）现场报名核验资料（无需密封）：营业执照（复印件盖公章）、法人授权委托书、委托代理人身份证（复印件盖公章）。以上所有材料均需加盖公章，否则视为资料不齐，报名无效。</w:t>
      </w:r>
    </w:p>
    <w:p>
      <w:pPr>
        <w:spacing w:line="360" w:lineRule="auto"/>
        <w:ind w:firstLine="560" w:firstLineChars="200"/>
        <w:jc w:val="left"/>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（二）密封盖公章的响应文件：响应文件格式详见附件《广西工商职业技术学院购买多糖凝胶纯化设备项目询价通知书》，请按照采购文件相关内容制作响应文件（一式一份），并密封盖公章，报名时一并提交。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b/>
          <w:sz w:val="28"/>
          <w:szCs w:val="28"/>
        </w:rPr>
        <w:t>六、报名时间地点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11</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27</w:t>
      </w:r>
      <w:r>
        <w:rPr>
          <w:rFonts w:hint="eastAsia" w:asciiTheme="minorEastAsia" w:hAnsiTheme="minorEastAsia" w:eastAsiaTheme="minorEastAsia" w:cstheme="minorBidi"/>
          <w:sz w:val="28"/>
          <w:szCs w:val="28"/>
        </w:rPr>
        <w:t>日9:00-12:00，逾期不再接收报名。</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地址：南宁市西乡塘区鹏飞路15号广西工商职业技术学院鹏飞校区教学楼6楼26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七、联系人及电话</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唐老师，0771-2394894 </w:t>
      </w:r>
    </w:p>
    <w:p>
      <w:pPr>
        <w:snapToGrid w:val="0"/>
        <w:spacing w:line="340" w:lineRule="atLeast"/>
        <w:ind w:firstLine="562" w:firstLineChars="200"/>
        <w:rPr>
          <w:rFonts w:ascii="宋体" w:hAnsi="宋体" w:cs="宋体"/>
          <w:sz w:val="28"/>
          <w:szCs w:val="28"/>
        </w:rPr>
      </w:pPr>
      <w:r>
        <w:rPr>
          <w:rFonts w:hint="eastAsia" w:ascii="宋体" w:hAnsi="宋体" w:cs="宋体"/>
          <w:b/>
          <w:sz w:val="28"/>
          <w:szCs w:val="28"/>
        </w:rPr>
        <w:t>八、网上公告媒体查询</w:t>
      </w:r>
      <w:r>
        <w:rPr>
          <w:rFonts w:hint="eastAsia" w:ascii="宋体" w:hAnsi="宋体" w:cs="宋体"/>
          <w:sz w:val="28"/>
          <w:szCs w:val="28"/>
        </w:rPr>
        <w:t>：广西工商职业技术学院（</w:t>
      </w:r>
      <w:r>
        <w:fldChar w:fldCharType="begin"/>
      </w:r>
      <w:r>
        <w:instrText xml:space="preserve"> HYPERLINK "http://www.gxgsxy.com/" </w:instrText>
      </w:r>
      <w:r>
        <w:fldChar w:fldCharType="separate"/>
      </w:r>
      <w:r>
        <w:rPr>
          <w:rFonts w:hint="eastAsia" w:ascii="宋体" w:hAnsi="宋体" w:cs="宋体"/>
          <w:sz w:val="28"/>
          <w:szCs w:val="28"/>
        </w:rPr>
        <w:t>http://www.gxgsxy.com/</w:t>
      </w:r>
      <w:r>
        <w:rPr>
          <w:rFonts w:hint="eastAsia" w:ascii="宋体" w:hAnsi="宋体" w:cs="宋体"/>
          <w:sz w:val="28"/>
          <w:szCs w:val="28"/>
        </w:rPr>
        <w:fldChar w:fldCharType="end"/>
      </w:r>
      <w:r>
        <w:rPr>
          <w:rFonts w:hint="eastAsia" w:ascii="宋体" w:hAnsi="宋体" w:cs="宋体"/>
          <w:sz w:val="28"/>
          <w:szCs w:val="28"/>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九、采购监督机构</w:t>
      </w: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宋体" w:hAnsi="宋体" w:cs="宋体"/>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sz w:val="28"/>
          <w:szCs w:val="28"/>
        </w:rPr>
      </w:pP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附件:广西工商职业技术学院购买多糖凝胶纯化设备项目询价通知书</w:t>
      </w: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460" w:firstLineChars="1950"/>
        <w:outlineLvl w:val="0"/>
        <w:rPr>
          <w:rFonts w:asciiTheme="minorEastAsia" w:hAnsiTheme="minorEastAsia" w:eastAsiaTheme="minorEastAsia" w:cstheme="minorBidi"/>
          <w:sz w:val="28"/>
          <w:szCs w:val="28"/>
        </w:rPr>
      </w:pPr>
      <w:bookmarkStart w:id="2" w:name="_Toc15229"/>
      <w:r>
        <w:rPr>
          <w:rFonts w:hint="eastAsia" w:asciiTheme="minorEastAsia" w:hAnsiTheme="minorEastAsia" w:eastAsiaTheme="minorEastAsia" w:cstheme="minorBidi"/>
          <w:sz w:val="28"/>
          <w:szCs w:val="28"/>
        </w:rPr>
        <w:t>广西工商职业技术学院</w:t>
      </w:r>
      <w:bookmarkEnd w:id="2"/>
    </w:p>
    <w:p>
      <w:pPr>
        <w:spacing w:line="360" w:lineRule="auto"/>
        <w:ind w:firstLine="5740" w:firstLineChars="2050"/>
        <w:rPr>
          <w:rFonts w:asciiTheme="minorEastAsia" w:hAnsiTheme="minorEastAsia"/>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sz w:val="28"/>
          <w:szCs w:val="28"/>
        </w:rPr>
        <w:t>2023年</w:t>
      </w:r>
      <w:r>
        <w:rPr>
          <w:rFonts w:hint="eastAsia" w:asciiTheme="minorEastAsia" w:hAnsiTheme="minorEastAsia" w:eastAsiaTheme="minorEastAsia" w:cstheme="minorBidi"/>
          <w:sz w:val="28"/>
          <w:szCs w:val="28"/>
          <w:lang w:val="en-US" w:eastAsia="zh-CN"/>
        </w:rPr>
        <w:t>11</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22</w:t>
      </w:r>
      <w:bookmarkStart w:id="16" w:name="_GoBack"/>
      <w:bookmarkEnd w:id="16"/>
      <w:r>
        <w:rPr>
          <w:rFonts w:hint="eastAsia" w:asciiTheme="minorEastAsia" w:hAnsiTheme="minorEastAsia" w:eastAsiaTheme="minorEastAsia" w:cstheme="minorBidi"/>
          <w:sz w:val="28"/>
          <w:szCs w:val="28"/>
        </w:rPr>
        <w:t>日</w:t>
      </w:r>
    </w:p>
    <w:p>
      <w:pPr>
        <w:pStyle w:val="2"/>
        <w:ind w:firstLine="3200" w:firstLineChars="800"/>
        <w:jc w:val="left"/>
        <w:rPr>
          <w:b w:val="0"/>
          <w:bCs/>
          <w:sz w:val="40"/>
          <w:szCs w:val="22"/>
        </w:rPr>
      </w:pPr>
      <w:bookmarkStart w:id="3" w:name="_Toc12753"/>
      <w:r>
        <w:rPr>
          <w:rFonts w:hint="eastAsia"/>
          <w:b w:val="0"/>
          <w:bCs/>
          <w:sz w:val="40"/>
          <w:szCs w:val="22"/>
        </w:rPr>
        <w:t>第二章 采购需求</w:t>
      </w:r>
      <w:bookmarkEnd w:id="3"/>
    </w:p>
    <w:p>
      <w:pPr>
        <w:jc w:val="left"/>
      </w:pPr>
      <w:r>
        <w:rPr>
          <w:rFonts w:hint="eastAsia"/>
        </w:rPr>
        <w:t>说明：</w:t>
      </w:r>
    </w:p>
    <w:p>
      <w:pPr>
        <w:jc w:val="left"/>
      </w:pPr>
      <w:r>
        <w:rPr>
          <w:rFonts w:hint="eastAsia"/>
        </w:rPr>
        <w:t>1.询价文件中标注“★”号的要求为实质性要求，必须满足或优于，否则报价无效。</w:t>
      </w:r>
    </w:p>
    <w:p>
      <w:pPr>
        <w:jc w:val="left"/>
      </w:pPr>
      <w:r>
        <w:rPr>
          <w:rFonts w:hint="eastAsia"/>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pPr>
      <w:r>
        <w:rPr>
          <w:rFonts w:hint="eastAsia"/>
        </w:rPr>
        <w:t>3.购需求中出现的品牌、型号或者生产供应商仅起参考作用，不属于指定品牌、型号或者生产供应商的情形。供应商可参照或者选用其他相当的品牌、型号或者生产供应商替代。</w:t>
      </w:r>
    </w:p>
    <w:p>
      <w:pPr>
        <w:jc w:val="left"/>
      </w:pPr>
      <w:r>
        <w:rPr>
          <w:rFonts w:hint="eastAsia"/>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tbl>
      <w:tblPr>
        <w:tblStyle w:val="17"/>
        <w:tblpPr w:leftFromText="180" w:rightFromText="180" w:vertAnchor="text" w:horzAnchor="page" w:tblpX="1070" w:tblpY="29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343"/>
        <w:gridCol w:w="1847"/>
        <w:gridCol w:w="3798"/>
        <w:gridCol w:w="767"/>
        <w:gridCol w:w="697"/>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vAlign w:val="center"/>
          </w:tcPr>
          <w:p>
            <w:pPr>
              <w:jc w:val="left"/>
              <w:rPr>
                <w:rFonts w:ascii="宋体" w:hAnsi="宋体" w:cs="宋体"/>
                <w:b/>
                <w:sz w:val="24"/>
              </w:rPr>
            </w:pPr>
            <w:r>
              <w:rPr>
                <w:rFonts w:hint="eastAsia" w:ascii="宋体" w:hAnsi="宋体" w:cs="宋体"/>
                <w:b/>
                <w:sz w:val="24"/>
              </w:rPr>
              <w:t>（一）技术需求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sz w:val="24"/>
              </w:rPr>
            </w:pPr>
            <w:r>
              <w:rPr>
                <w:rFonts w:hint="eastAsia" w:ascii="宋体" w:hAnsi="宋体" w:cs="宋体"/>
                <w:sz w:val="24"/>
              </w:rPr>
              <w:t>序号</w:t>
            </w:r>
          </w:p>
        </w:tc>
        <w:tc>
          <w:tcPr>
            <w:tcW w:w="674" w:type="pct"/>
            <w:vAlign w:val="center"/>
          </w:tcPr>
          <w:p>
            <w:pPr>
              <w:jc w:val="center"/>
              <w:rPr>
                <w:rFonts w:ascii="宋体" w:hAnsi="宋体" w:cs="宋体"/>
                <w:sz w:val="24"/>
              </w:rPr>
            </w:pPr>
            <w:r>
              <w:rPr>
                <w:rFonts w:hint="eastAsia" w:ascii="宋体" w:hAnsi="宋体" w:cs="宋体"/>
                <w:sz w:val="24"/>
              </w:rPr>
              <w:t>采购内容</w:t>
            </w:r>
          </w:p>
        </w:tc>
        <w:tc>
          <w:tcPr>
            <w:tcW w:w="927" w:type="pct"/>
            <w:vAlign w:val="center"/>
          </w:tcPr>
          <w:p>
            <w:pPr>
              <w:jc w:val="center"/>
              <w:rPr>
                <w:rFonts w:ascii="宋体" w:hAnsi="宋体" w:cs="宋体"/>
                <w:sz w:val="24"/>
              </w:rPr>
            </w:pPr>
            <w:r>
              <w:rPr>
                <w:rFonts w:hint="eastAsia" w:ascii="宋体" w:hAnsi="宋体" w:cs="宋体"/>
                <w:sz w:val="24"/>
              </w:rPr>
              <w:t>参考品牌、型号</w:t>
            </w:r>
          </w:p>
        </w:tc>
        <w:tc>
          <w:tcPr>
            <w:tcW w:w="1906" w:type="pct"/>
            <w:vAlign w:val="center"/>
          </w:tcPr>
          <w:p>
            <w:pPr>
              <w:jc w:val="center"/>
              <w:rPr>
                <w:rFonts w:ascii="宋体" w:hAnsi="宋体" w:cs="宋体"/>
                <w:sz w:val="24"/>
              </w:rPr>
            </w:pPr>
            <w:r>
              <w:rPr>
                <w:rFonts w:hint="eastAsia" w:ascii="宋体" w:hAnsi="宋体" w:cs="宋体"/>
                <w:sz w:val="24"/>
              </w:rPr>
              <w:t>技术参数</w:t>
            </w:r>
          </w:p>
          <w:p>
            <w:pPr>
              <w:jc w:val="center"/>
              <w:rPr>
                <w:rFonts w:ascii="宋体" w:hAnsi="宋体" w:cs="宋体"/>
                <w:sz w:val="24"/>
              </w:rPr>
            </w:pPr>
            <w:r>
              <w:rPr>
                <w:rFonts w:hint="eastAsia" w:ascii="宋体" w:hAnsi="宋体" w:cs="宋体"/>
                <w:sz w:val="24"/>
              </w:rPr>
              <w:t>（括性能、材料、结构、外观、安全，或者服务内容和标准）</w:t>
            </w:r>
          </w:p>
        </w:tc>
        <w:tc>
          <w:tcPr>
            <w:tcW w:w="385" w:type="pct"/>
            <w:vAlign w:val="center"/>
          </w:tcPr>
          <w:p>
            <w:pPr>
              <w:jc w:val="center"/>
              <w:rPr>
                <w:rFonts w:ascii="宋体" w:hAnsi="宋体" w:cs="宋体"/>
                <w:sz w:val="24"/>
              </w:rPr>
            </w:pPr>
            <w:r>
              <w:rPr>
                <w:rFonts w:hint="eastAsia" w:ascii="宋体" w:hAnsi="宋体" w:cs="宋体"/>
                <w:sz w:val="24"/>
              </w:rPr>
              <w:t>单位</w:t>
            </w:r>
          </w:p>
        </w:tc>
        <w:tc>
          <w:tcPr>
            <w:tcW w:w="350" w:type="pct"/>
            <w:vAlign w:val="center"/>
          </w:tcPr>
          <w:p>
            <w:pPr>
              <w:jc w:val="center"/>
              <w:rPr>
                <w:rFonts w:ascii="宋体" w:hAnsi="宋体" w:cs="宋体"/>
                <w:sz w:val="24"/>
              </w:rPr>
            </w:pPr>
            <w:r>
              <w:rPr>
                <w:rFonts w:hint="eastAsia" w:ascii="宋体" w:hAnsi="宋体" w:cs="宋体"/>
                <w:sz w:val="24"/>
              </w:rPr>
              <w:t>数量</w:t>
            </w:r>
          </w:p>
        </w:tc>
        <w:tc>
          <w:tcPr>
            <w:tcW w:w="360" w:type="pct"/>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5" w:type="pct"/>
            <w:vAlign w:val="center"/>
          </w:tcPr>
          <w:p>
            <w:pPr>
              <w:jc w:val="center"/>
              <w:rPr>
                <w:rFonts w:ascii="宋体" w:hAnsi="宋体" w:cs="宋体"/>
                <w:sz w:val="24"/>
              </w:rPr>
            </w:pPr>
            <w:r>
              <w:rPr>
                <w:rFonts w:hint="eastAsia" w:ascii="宋体" w:hAnsi="宋体" w:cs="宋体"/>
                <w:sz w:val="24"/>
              </w:rPr>
              <w:t>1</w:t>
            </w:r>
          </w:p>
        </w:tc>
        <w:tc>
          <w:tcPr>
            <w:tcW w:w="674" w:type="pct"/>
            <w:vAlign w:val="center"/>
          </w:tcPr>
          <w:p>
            <w:pPr>
              <w:jc w:val="center"/>
              <w:rPr>
                <w:rFonts w:ascii="宋体" w:hAnsi="宋体" w:cs="宋体"/>
                <w:sz w:val="24"/>
              </w:rPr>
            </w:pPr>
            <w:r>
              <w:rPr>
                <w:rFonts w:hint="eastAsia"/>
                <w:sz w:val="22"/>
                <w:szCs w:val="22"/>
              </w:rPr>
              <w:t>凝胶纯化设备</w:t>
            </w:r>
          </w:p>
        </w:tc>
        <w:tc>
          <w:tcPr>
            <w:tcW w:w="927" w:type="pct"/>
            <w:vAlign w:val="center"/>
          </w:tcPr>
          <w:p>
            <w:pPr>
              <w:jc w:val="center"/>
              <w:rPr>
                <w:rFonts w:ascii="宋体" w:hAnsi="宋体" w:cs="宋体"/>
                <w:sz w:val="24"/>
              </w:rPr>
            </w:pPr>
          </w:p>
        </w:tc>
        <w:tc>
          <w:tcPr>
            <w:tcW w:w="1906" w:type="pct"/>
            <w:vAlign w:val="center"/>
          </w:tcPr>
          <w:p>
            <w:pPr>
              <w:jc w:val="center"/>
              <w:rPr>
                <w:sz w:val="22"/>
                <w:szCs w:val="22"/>
              </w:rPr>
            </w:pPr>
            <w:r>
              <w:rPr>
                <w:rFonts w:hint="eastAsia"/>
                <w:sz w:val="22"/>
                <w:szCs w:val="22"/>
              </w:rPr>
              <w:t>★1对多糖分离纯化可以实现按峰、体积、时间收集模式；</w:t>
            </w:r>
          </w:p>
          <w:p>
            <w:pPr>
              <w:jc w:val="center"/>
              <w:rPr>
                <w:sz w:val="22"/>
                <w:szCs w:val="22"/>
              </w:rPr>
            </w:pPr>
            <w:r>
              <w:rPr>
                <w:rFonts w:hint="eastAsia"/>
                <w:sz w:val="22"/>
                <w:szCs w:val="22"/>
              </w:rPr>
              <w:t>★1.2可以实现中药多糖分离图谱储存，分析，不同多糖纯化工艺设计。具有方法数据库，可预置不同的纯化方法随时调用，一键完成自动操作；</w:t>
            </w:r>
          </w:p>
          <w:p>
            <w:pPr>
              <w:jc w:val="center"/>
              <w:rPr>
                <w:sz w:val="22"/>
                <w:szCs w:val="22"/>
              </w:rPr>
            </w:pPr>
            <w:r>
              <w:rPr>
                <w:rFonts w:hint="eastAsia"/>
                <w:sz w:val="22"/>
                <w:szCs w:val="22"/>
              </w:rPr>
              <w:t>1.3在纯化多糖过程中，可以实现随时停止进行方法修改和方法编辑，对于成熟工艺的方法可以进行保存。所有多糖纯化的工艺方法可以实现随时调用。</w:t>
            </w:r>
          </w:p>
          <w:p>
            <w:pPr>
              <w:jc w:val="center"/>
              <w:rPr>
                <w:sz w:val="22"/>
                <w:szCs w:val="22"/>
              </w:rPr>
            </w:pPr>
            <w:r>
              <w:rPr>
                <w:rFonts w:hint="eastAsia"/>
                <w:sz w:val="22"/>
                <w:szCs w:val="22"/>
              </w:rPr>
              <w:t>★1.4多糖凝胶纯化系统软件自带数据自动保存功能，防止中药多糖纯化图谱数据丢失；</w:t>
            </w:r>
          </w:p>
          <w:p>
            <w:pPr>
              <w:jc w:val="center"/>
              <w:rPr>
                <w:sz w:val="22"/>
                <w:szCs w:val="22"/>
              </w:rPr>
            </w:pPr>
            <w:r>
              <w:rPr>
                <w:rFonts w:hint="eastAsia"/>
                <w:sz w:val="22"/>
                <w:szCs w:val="22"/>
              </w:rPr>
              <w:t>★1.5在多糖纯化仪器运行过程中，可以随时对多糖纯化过程暂停，设置参数进行调整，优化多糖纯化参数；</w:t>
            </w:r>
          </w:p>
          <w:p>
            <w:pPr>
              <w:jc w:val="center"/>
              <w:rPr>
                <w:sz w:val="22"/>
                <w:szCs w:val="22"/>
              </w:rPr>
            </w:pPr>
            <w:r>
              <w:rPr>
                <w:rFonts w:hint="eastAsia"/>
                <w:sz w:val="22"/>
                <w:szCs w:val="22"/>
              </w:rPr>
              <w:t>★1.6多糖纯化压力控制模块，在多糖凝胶纯化系统运行过程中，可以设置超压后报警暂停，保证多糖样品不丢失，不损失。或者超压后，报警系统自动 降速，直至不超压；保证多糖纯化系统不受影响。</w:t>
            </w:r>
          </w:p>
          <w:p>
            <w:pPr>
              <w:jc w:val="center"/>
              <w:rPr>
                <w:sz w:val="22"/>
                <w:szCs w:val="22"/>
              </w:rPr>
            </w:pPr>
            <w:r>
              <w:rPr>
                <w:rFonts w:hint="eastAsia"/>
                <w:sz w:val="22"/>
                <w:szCs w:val="22"/>
              </w:rPr>
              <w:t>1.7多糖仪器设计过程中，所有流路面向操作者，流路实时在现，实时监控；</w:t>
            </w:r>
          </w:p>
          <w:p>
            <w:pPr>
              <w:jc w:val="center"/>
              <w:rPr>
                <w:sz w:val="22"/>
                <w:szCs w:val="22"/>
              </w:rPr>
            </w:pPr>
            <w:r>
              <w:rPr>
                <w:rFonts w:hint="eastAsia"/>
                <w:sz w:val="22"/>
                <w:szCs w:val="22"/>
              </w:rPr>
              <w:t>★1.1.8多糖凝胶纯化系统软件具有多糖样品自动进样、同时可以进行梯度洗脱、多糖纯化图谱保存、多糖的馏分收集图、就行智能化选择收集，同时可以，设备状态同图显示的功能；</w:t>
            </w:r>
          </w:p>
          <w:p>
            <w:pPr>
              <w:jc w:val="center"/>
              <w:rPr>
                <w:sz w:val="22"/>
                <w:szCs w:val="22"/>
              </w:rPr>
            </w:pPr>
            <w:r>
              <w:rPr>
                <w:rFonts w:hint="eastAsia"/>
                <w:sz w:val="22"/>
                <w:szCs w:val="22"/>
              </w:rPr>
              <w:t>1.9 多糖凝胶纯化具有一键收集功能，及时收集目标多糖峰，防止多糖样品丢失；</w:t>
            </w:r>
          </w:p>
          <w:p>
            <w:pPr>
              <w:jc w:val="center"/>
              <w:rPr>
                <w:sz w:val="22"/>
                <w:szCs w:val="22"/>
              </w:rPr>
            </w:pPr>
            <w:r>
              <w:rPr>
                <w:rFonts w:hint="eastAsia"/>
                <w:sz w:val="22"/>
                <w:szCs w:val="22"/>
              </w:rPr>
              <w:t>1.10多糖凝胶纯化工作站兼具分析的功能，有多糖数据处理模式与多糖含量计算模式；</w:t>
            </w:r>
          </w:p>
          <w:p>
            <w:pPr>
              <w:jc w:val="center"/>
              <w:rPr>
                <w:sz w:val="22"/>
                <w:szCs w:val="22"/>
              </w:rPr>
            </w:pPr>
            <w:r>
              <w:rPr>
                <w:rFonts w:hint="eastAsia"/>
                <w:sz w:val="22"/>
                <w:szCs w:val="22"/>
              </w:rPr>
              <w:t>1.11多糖凝胶纯化支持色谱分峰与定量功能、多糖数据管理、使用人管理、个人管理等功能；</w:t>
            </w:r>
          </w:p>
          <w:p>
            <w:pPr>
              <w:jc w:val="center"/>
              <w:rPr>
                <w:sz w:val="22"/>
                <w:szCs w:val="22"/>
              </w:rPr>
            </w:pPr>
            <w:r>
              <w:rPr>
                <w:rFonts w:hint="eastAsia"/>
                <w:sz w:val="22"/>
                <w:szCs w:val="22"/>
              </w:rPr>
              <w:t>★1.12 多糖凝胶纯化是模块化操作模式，便于升级，可以升级成多糖极性分离系统和寡糖纯化系统。采用高压柱塞泵，模块化设计，检测模块采用糖类检测器。</w:t>
            </w:r>
          </w:p>
          <w:p>
            <w:pPr>
              <w:jc w:val="center"/>
              <w:rPr>
                <w:sz w:val="22"/>
                <w:szCs w:val="22"/>
              </w:rPr>
            </w:pPr>
            <w:r>
              <w:rPr>
                <w:rFonts w:hint="eastAsia"/>
                <w:sz w:val="22"/>
                <w:szCs w:val="22"/>
              </w:rPr>
              <w:t>★1.13 多糖凝胶纯化配置远程控制功能，每台电脑有独立的IP地址，在多糖纯化过程中，遇到问题，都可以联系公司应用工程师，工作日可以实现远程纯化方案优化。</w:t>
            </w:r>
          </w:p>
          <w:p>
            <w:pPr>
              <w:jc w:val="center"/>
              <w:rPr>
                <w:sz w:val="22"/>
                <w:szCs w:val="22"/>
              </w:rPr>
            </w:pPr>
            <w:r>
              <w:rPr>
                <w:rFonts w:hint="eastAsia"/>
                <w:sz w:val="22"/>
                <w:szCs w:val="22"/>
              </w:rPr>
              <w:t>2 高压二元梯度泵系统（含混合器）：</w:t>
            </w:r>
          </w:p>
          <w:p>
            <w:pPr>
              <w:jc w:val="center"/>
              <w:rPr>
                <w:sz w:val="22"/>
                <w:szCs w:val="22"/>
              </w:rPr>
            </w:pPr>
            <w:r>
              <w:rPr>
                <w:rFonts w:hint="eastAsia"/>
                <w:sz w:val="22"/>
                <w:szCs w:val="22"/>
              </w:rPr>
              <w:t>2.1流量 0-10 mL/min</w:t>
            </w:r>
          </w:p>
          <w:p>
            <w:pPr>
              <w:jc w:val="center"/>
              <w:rPr>
                <w:sz w:val="22"/>
                <w:szCs w:val="22"/>
              </w:rPr>
            </w:pPr>
            <w:r>
              <w:rPr>
                <w:rFonts w:hint="eastAsia"/>
                <w:sz w:val="22"/>
                <w:szCs w:val="22"/>
              </w:rPr>
              <w:t>2.2 压力范围 0-30 MPa（300 bar，4350psi）</w:t>
            </w:r>
          </w:p>
          <w:p>
            <w:pPr>
              <w:jc w:val="center"/>
              <w:rPr>
                <w:sz w:val="22"/>
                <w:szCs w:val="22"/>
              </w:rPr>
            </w:pPr>
            <w:r>
              <w:rPr>
                <w:rFonts w:hint="eastAsia"/>
                <w:sz w:val="22"/>
                <w:szCs w:val="22"/>
              </w:rPr>
              <w:t>2.3 流速准确度 ±1.5%</w:t>
            </w:r>
          </w:p>
          <w:p>
            <w:pPr>
              <w:jc w:val="center"/>
              <w:rPr>
                <w:sz w:val="22"/>
                <w:szCs w:val="22"/>
              </w:rPr>
            </w:pPr>
            <w:r>
              <w:rPr>
                <w:rFonts w:hint="eastAsia"/>
                <w:sz w:val="22"/>
                <w:szCs w:val="22"/>
              </w:rPr>
              <w:t>2.4 梯度精度 ±1%</w:t>
            </w:r>
          </w:p>
          <w:p>
            <w:pPr>
              <w:jc w:val="center"/>
              <w:rPr>
                <w:sz w:val="22"/>
                <w:szCs w:val="22"/>
              </w:rPr>
            </w:pPr>
            <w:r>
              <w:rPr>
                <w:rFonts w:hint="eastAsia"/>
                <w:sz w:val="22"/>
                <w:szCs w:val="22"/>
              </w:rPr>
              <w:t>2.5 梯度流速范围 0.1-10 mL/min</w:t>
            </w:r>
          </w:p>
          <w:p>
            <w:pPr>
              <w:jc w:val="center"/>
              <w:rPr>
                <w:sz w:val="22"/>
                <w:szCs w:val="22"/>
              </w:rPr>
            </w:pPr>
            <w:r>
              <w:rPr>
                <w:rFonts w:hint="eastAsia"/>
                <w:sz w:val="22"/>
                <w:szCs w:val="22"/>
              </w:rPr>
              <w:t>2.6 粘度 ≥5 CP</w:t>
            </w:r>
          </w:p>
          <w:p>
            <w:pPr>
              <w:jc w:val="center"/>
              <w:rPr>
                <w:sz w:val="22"/>
                <w:szCs w:val="22"/>
              </w:rPr>
            </w:pPr>
            <w:r>
              <w:rPr>
                <w:rFonts w:hint="eastAsia"/>
                <w:sz w:val="22"/>
                <w:szCs w:val="22"/>
              </w:rPr>
              <w:t>3 示差折光检测器：</w:t>
            </w:r>
          </w:p>
          <w:p>
            <w:pPr>
              <w:jc w:val="center"/>
              <w:rPr>
                <w:sz w:val="22"/>
                <w:szCs w:val="22"/>
              </w:rPr>
            </w:pPr>
            <w:r>
              <w:rPr>
                <w:rFonts w:hint="eastAsia"/>
                <w:sz w:val="22"/>
                <w:szCs w:val="22"/>
              </w:rPr>
              <w:t>3.1 折射率范围：1~1.75RIU</w:t>
            </w:r>
          </w:p>
          <w:p>
            <w:pPr>
              <w:jc w:val="center"/>
              <w:rPr>
                <w:sz w:val="22"/>
                <w:szCs w:val="22"/>
              </w:rPr>
            </w:pPr>
            <w:r>
              <w:rPr>
                <w:rFonts w:hint="eastAsia"/>
                <w:sz w:val="22"/>
                <w:szCs w:val="22"/>
              </w:rPr>
              <w:t>3.2 测量方法:偏转式</w:t>
            </w:r>
          </w:p>
          <w:p>
            <w:pPr>
              <w:jc w:val="center"/>
              <w:rPr>
                <w:sz w:val="22"/>
                <w:szCs w:val="22"/>
              </w:rPr>
            </w:pPr>
            <w:r>
              <w:rPr>
                <w:rFonts w:hint="eastAsia"/>
                <w:sz w:val="22"/>
                <w:szCs w:val="22"/>
              </w:rPr>
              <w:t>3.3 线性: 500μRIU(A 模式)，5000μRIU( P、L 模式)</w:t>
            </w:r>
          </w:p>
          <w:p>
            <w:pPr>
              <w:jc w:val="center"/>
              <w:rPr>
                <w:sz w:val="22"/>
                <w:szCs w:val="22"/>
              </w:rPr>
            </w:pPr>
            <w:r>
              <w:rPr>
                <w:rFonts w:hint="eastAsia"/>
                <w:sz w:val="22"/>
                <w:szCs w:val="22"/>
              </w:rPr>
              <w:t>3.4 范围:0.01 ~500 μRIU(A 模式），1~5000μRIU( P、L 模式)</w:t>
            </w:r>
          </w:p>
          <w:p>
            <w:pPr>
              <w:jc w:val="center"/>
              <w:rPr>
                <w:sz w:val="22"/>
                <w:szCs w:val="22"/>
              </w:rPr>
            </w:pPr>
            <w:r>
              <w:rPr>
                <w:rFonts w:hint="eastAsia"/>
                <w:sz w:val="22"/>
                <w:szCs w:val="22"/>
              </w:rPr>
              <w:t>3.5 漂移:0.1μRIU/h (水封入、时间常数 3.0sec、室温 25℃、A 模式)</w:t>
            </w:r>
          </w:p>
          <w:p>
            <w:pPr>
              <w:jc w:val="center"/>
              <w:rPr>
                <w:sz w:val="22"/>
                <w:szCs w:val="22"/>
              </w:rPr>
            </w:pPr>
            <w:r>
              <w:rPr>
                <w:rFonts w:hint="eastAsia"/>
                <w:sz w:val="22"/>
                <w:szCs w:val="22"/>
              </w:rPr>
              <w:t>3.6 噪音:0.0025 μRIU 以下(水封入、时间常数 3.0sec、室温25℃、A 模式)</w:t>
            </w:r>
          </w:p>
          <w:p>
            <w:pPr>
              <w:jc w:val="center"/>
              <w:rPr>
                <w:sz w:val="22"/>
                <w:szCs w:val="22"/>
              </w:rPr>
            </w:pPr>
            <w:r>
              <w:rPr>
                <w:rFonts w:hint="eastAsia"/>
                <w:sz w:val="22"/>
                <w:szCs w:val="22"/>
              </w:rPr>
              <w:t>3.7 最大使用流量:A、P 模式 20mL/min ； L 模式 150mL/min(使用选</w:t>
            </w:r>
          </w:p>
          <w:p>
            <w:pPr>
              <w:jc w:val="center"/>
              <w:rPr>
                <w:sz w:val="22"/>
                <w:szCs w:val="22"/>
              </w:rPr>
            </w:pPr>
            <w:r>
              <w:rPr>
                <w:rFonts w:hint="eastAsia"/>
                <w:sz w:val="22"/>
                <w:szCs w:val="22"/>
              </w:rPr>
              <w:t>配件 FlowSelection Block)</w:t>
            </w:r>
          </w:p>
          <w:p>
            <w:pPr>
              <w:jc w:val="center"/>
              <w:rPr>
                <w:sz w:val="22"/>
                <w:szCs w:val="22"/>
              </w:rPr>
            </w:pPr>
            <w:r>
              <w:rPr>
                <w:rFonts w:hint="eastAsia"/>
                <w:sz w:val="22"/>
                <w:szCs w:val="22"/>
              </w:rPr>
              <w:t>3.8 压力容差：检测器压力容差 0.4MPa；流通池压力容差 1.9 MPa</w:t>
            </w:r>
          </w:p>
          <w:p>
            <w:pPr>
              <w:jc w:val="center"/>
              <w:rPr>
                <w:sz w:val="22"/>
                <w:szCs w:val="22"/>
              </w:rPr>
            </w:pPr>
            <w:r>
              <w:rPr>
                <w:rFonts w:hint="eastAsia"/>
                <w:sz w:val="22"/>
                <w:szCs w:val="22"/>
              </w:rPr>
              <w:t>3.9 流路切换单元:电磁阀(压力容差:0.4 MPa)</w:t>
            </w:r>
          </w:p>
          <w:p>
            <w:pPr>
              <w:jc w:val="center"/>
              <w:rPr>
                <w:sz w:val="22"/>
                <w:szCs w:val="22"/>
              </w:rPr>
            </w:pPr>
            <w:r>
              <w:rPr>
                <w:rFonts w:hint="eastAsia"/>
                <w:sz w:val="22"/>
                <w:szCs w:val="22"/>
              </w:rPr>
              <w:t>3.10 测定单元的温控温度设置30~60℃ (以 0.1℃为单位)、OFF</w:t>
            </w:r>
          </w:p>
          <w:p>
            <w:pPr>
              <w:jc w:val="center"/>
              <w:rPr>
                <w:sz w:val="22"/>
                <w:szCs w:val="22"/>
              </w:rPr>
            </w:pPr>
            <w:r>
              <w:rPr>
                <w:rFonts w:hint="eastAsia"/>
                <w:sz w:val="22"/>
                <w:szCs w:val="22"/>
              </w:rPr>
              <w:t>3.11 检测器内部容量：入口端~流通池中心:69μL；流通池中心~出口端:361μL(流通池体积:9μL)</w:t>
            </w:r>
          </w:p>
          <w:p>
            <w:pPr>
              <w:jc w:val="center"/>
              <w:rPr>
                <w:sz w:val="22"/>
                <w:szCs w:val="22"/>
              </w:rPr>
            </w:pPr>
            <w:r>
              <w:rPr>
                <w:rFonts w:hint="eastAsia"/>
                <w:sz w:val="22"/>
                <w:szCs w:val="22"/>
              </w:rPr>
              <w:t>3.12 ph 范围：1-13(根据流动相种类的不同，长时间使用 pH10 以上的溶剂可能会损伤流通池的石英，可能导致透过率下降或漏液)</w:t>
            </w:r>
          </w:p>
          <w:p>
            <w:pPr>
              <w:jc w:val="center"/>
              <w:rPr>
                <w:sz w:val="22"/>
                <w:szCs w:val="22"/>
              </w:rPr>
            </w:pPr>
            <w:r>
              <w:rPr>
                <w:rFonts w:hint="eastAsia"/>
                <w:sz w:val="22"/>
                <w:szCs w:val="22"/>
              </w:rPr>
              <w:t>3.13 测定单元的温控温度设置：30~60℃ (以 0.1℃为单位)、OFF</w:t>
            </w:r>
          </w:p>
          <w:p>
            <w:pPr>
              <w:jc w:val="center"/>
              <w:rPr>
                <w:sz w:val="22"/>
                <w:szCs w:val="22"/>
              </w:rPr>
            </w:pPr>
            <w:r>
              <w:rPr>
                <w:rFonts w:hint="eastAsia"/>
                <w:sz w:val="22"/>
                <w:szCs w:val="22"/>
              </w:rPr>
              <w:t>3.14 归零：视觉平衡(光学归零)；自动归零功能；基线漂移功能(记录仪、集成器输出)</w:t>
            </w:r>
          </w:p>
          <w:p>
            <w:pPr>
              <w:jc w:val="center"/>
              <w:rPr>
                <w:sz w:val="22"/>
                <w:szCs w:val="22"/>
              </w:rPr>
            </w:pPr>
            <w:r>
              <w:rPr>
                <w:rFonts w:hint="eastAsia"/>
                <w:sz w:val="22"/>
                <w:szCs w:val="22"/>
              </w:rPr>
              <w:t>3.15 极性：可</w:t>
            </w:r>
          </w:p>
          <w:p>
            <w:pPr>
              <w:jc w:val="center"/>
              <w:rPr>
                <w:sz w:val="22"/>
                <w:szCs w:val="22"/>
              </w:rPr>
            </w:pPr>
            <w:r>
              <w:rPr>
                <w:rFonts w:hint="eastAsia"/>
                <w:sz w:val="22"/>
                <w:szCs w:val="22"/>
              </w:rPr>
              <w:t>3.16 响应：时间常数:无图像过滤处理，可设置 0.05、0.1、0.5、1.0、1.5、2.0、3.0、6.0、8.0、10.0 秒等11 个阶段</w:t>
            </w:r>
          </w:p>
          <w:p>
            <w:pPr>
              <w:jc w:val="center"/>
              <w:rPr>
                <w:sz w:val="22"/>
                <w:szCs w:val="22"/>
              </w:rPr>
            </w:pPr>
            <w:r>
              <w:rPr>
                <w:rFonts w:hint="eastAsia"/>
                <w:sz w:val="22"/>
                <w:szCs w:val="22"/>
              </w:rPr>
              <w:t>4.亲水型尺寸排阻色谱柱 BRT-101，（BRT-105,BRT-103）</w:t>
            </w:r>
          </w:p>
          <w:p>
            <w:pPr>
              <w:jc w:val="center"/>
              <w:rPr>
                <w:sz w:val="22"/>
                <w:szCs w:val="22"/>
              </w:rPr>
            </w:pPr>
            <w:r>
              <w:rPr>
                <w:rFonts w:hint="eastAsia"/>
                <w:sz w:val="22"/>
                <w:szCs w:val="22"/>
              </w:rPr>
              <w:t>★4.1 直径：20mm*250mm；</w:t>
            </w:r>
          </w:p>
          <w:p>
            <w:pPr>
              <w:jc w:val="center"/>
              <w:rPr>
                <w:sz w:val="22"/>
                <w:szCs w:val="22"/>
              </w:rPr>
            </w:pPr>
            <w:r>
              <w:rPr>
                <w:rFonts w:hint="eastAsia"/>
                <w:sz w:val="22"/>
                <w:szCs w:val="22"/>
              </w:rPr>
              <w:t>4.2 颗粒度：10um；</w:t>
            </w:r>
          </w:p>
          <w:p>
            <w:pPr>
              <w:jc w:val="center"/>
              <w:rPr>
                <w:sz w:val="22"/>
                <w:szCs w:val="22"/>
              </w:rPr>
            </w:pPr>
            <w:r>
              <w:rPr>
                <w:rFonts w:hint="eastAsia"/>
                <w:sz w:val="22"/>
                <w:szCs w:val="22"/>
              </w:rPr>
              <w:t>4.3 蛋白分子量范围：BRT-101:5,000 - 24,000 *BRT-103:50,000 - 410,000</w:t>
            </w:r>
          </w:p>
          <w:p>
            <w:pPr>
              <w:jc w:val="center"/>
              <w:rPr>
                <w:sz w:val="22"/>
                <w:szCs w:val="22"/>
              </w:rPr>
            </w:pPr>
            <w:r>
              <w:rPr>
                <w:rFonts w:hint="eastAsia"/>
                <w:sz w:val="22"/>
                <w:szCs w:val="22"/>
              </w:rPr>
              <w:t>★BRT-5：50,000 - 5,000,000</w:t>
            </w:r>
          </w:p>
          <w:p>
            <w:pPr>
              <w:jc w:val="center"/>
              <w:rPr>
                <w:sz w:val="22"/>
                <w:szCs w:val="22"/>
              </w:rPr>
            </w:pPr>
            <w:r>
              <w:rPr>
                <w:rFonts w:hint="eastAsia"/>
                <w:sz w:val="22"/>
                <w:szCs w:val="22"/>
              </w:rPr>
              <w:t>4.4 耐受温度(°C):~ 80</w:t>
            </w:r>
          </w:p>
          <w:p>
            <w:pPr>
              <w:jc w:val="center"/>
              <w:rPr>
                <w:sz w:val="22"/>
                <w:szCs w:val="22"/>
              </w:rPr>
            </w:pPr>
            <w:r>
              <w:rPr>
                <w:rFonts w:hint="eastAsia"/>
                <w:sz w:val="22"/>
                <w:szCs w:val="22"/>
              </w:rPr>
              <w:t>4.5 压力范围:BRT-101:~ 3,500.BRT-103、105:~3000</w:t>
            </w:r>
          </w:p>
          <w:p>
            <w:pPr>
              <w:jc w:val="center"/>
              <w:rPr>
                <w:sz w:val="22"/>
                <w:szCs w:val="22"/>
              </w:rPr>
            </w:pPr>
            <w:r>
              <w:rPr>
                <w:rFonts w:hint="eastAsia"/>
                <w:sz w:val="22"/>
                <w:szCs w:val="22"/>
              </w:rPr>
              <w:t>5 全自动馏分收集器：</w:t>
            </w:r>
          </w:p>
          <w:p>
            <w:pPr>
              <w:jc w:val="center"/>
              <w:rPr>
                <w:sz w:val="22"/>
                <w:szCs w:val="22"/>
              </w:rPr>
            </w:pPr>
            <w:r>
              <w:rPr>
                <w:rFonts w:hint="eastAsia"/>
                <w:sz w:val="22"/>
                <w:szCs w:val="22"/>
              </w:rPr>
              <w:t>5.1 高度的稳定性 全自动馏分收集器杜绝了跳管、紊乱、溢出现象</w:t>
            </w:r>
          </w:p>
          <w:p>
            <w:pPr>
              <w:jc w:val="center"/>
              <w:rPr>
                <w:sz w:val="22"/>
                <w:szCs w:val="22"/>
              </w:rPr>
            </w:pPr>
            <w:r>
              <w:rPr>
                <w:rFonts w:hint="eastAsia"/>
                <w:sz w:val="22"/>
                <w:szCs w:val="22"/>
              </w:rPr>
              <w:t>5.2 安全性 X-Y 矩阵式收集装置底部无电机优于圆盘型馏分收集器</w:t>
            </w:r>
          </w:p>
          <w:p>
            <w:pPr>
              <w:jc w:val="center"/>
              <w:rPr>
                <w:sz w:val="22"/>
                <w:szCs w:val="22"/>
              </w:rPr>
            </w:pPr>
            <w:r>
              <w:rPr>
                <w:rFonts w:hint="eastAsia"/>
                <w:sz w:val="22"/>
                <w:szCs w:val="22"/>
              </w:rPr>
              <w:t>5.3 便利性 高精度馏分收集软件，保证收集试管与峰位准确对应</w:t>
            </w:r>
          </w:p>
          <w:p>
            <w:pPr>
              <w:jc w:val="center"/>
              <w:rPr>
                <w:sz w:val="22"/>
                <w:szCs w:val="22"/>
              </w:rPr>
            </w:pPr>
            <w:r>
              <w:rPr>
                <w:rFonts w:hint="eastAsia"/>
                <w:sz w:val="22"/>
                <w:szCs w:val="22"/>
              </w:rPr>
              <w:t>5.4 收集性 带有废液收集三通阀，适应高中压不间断收集</w:t>
            </w:r>
          </w:p>
          <w:p>
            <w:pPr>
              <w:jc w:val="center"/>
              <w:rPr>
                <w:sz w:val="22"/>
                <w:szCs w:val="22"/>
              </w:rPr>
            </w:pPr>
            <w:r>
              <w:rPr>
                <w:rFonts w:hint="eastAsia"/>
                <w:sz w:val="22"/>
                <w:szCs w:val="22"/>
              </w:rPr>
              <w:t>5.5 馏分收集试管 160 个(可选配）</w:t>
            </w:r>
          </w:p>
          <w:p>
            <w:pPr>
              <w:jc w:val="center"/>
              <w:rPr>
                <w:sz w:val="22"/>
                <w:szCs w:val="22"/>
              </w:rPr>
            </w:pPr>
            <w:r>
              <w:rPr>
                <w:rFonts w:hint="eastAsia"/>
                <w:sz w:val="22"/>
                <w:szCs w:val="22"/>
              </w:rPr>
              <w:t>5.6 试管架、试管 标配 15 mm、适合15x150 mm</w:t>
            </w:r>
          </w:p>
          <w:p>
            <w:pPr>
              <w:jc w:val="center"/>
              <w:rPr>
                <w:sz w:val="22"/>
                <w:szCs w:val="22"/>
              </w:rPr>
            </w:pPr>
            <w:r>
              <w:rPr>
                <w:rFonts w:hint="eastAsia"/>
                <w:sz w:val="22"/>
                <w:szCs w:val="22"/>
              </w:rPr>
              <w:t>5.7 流路 PEEK 惰性材料，不损害样品</w:t>
            </w:r>
          </w:p>
          <w:p>
            <w:pPr>
              <w:jc w:val="center"/>
              <w:rPr>
                <w:sz w:val="22"/>
                <w:szCs w:val="22"/>
              </w:rPr>
            </w:pPr>
            <w:r>
              <w:rPr>
                <w:rFonts w:hint="eastAsia"/>
                <w:sz w:val="22"/>
                <w:szCs w:val="22"/>
              </w:rPr>
              <w:t>6 制备液相专用工作站</w:t>
            </w:r>
          </w:p>
          <w:p>
            <w:pPr>
              <w:jc w:val="center"/>
              <w:rPr>
                <w:sz w:val="22"/>
                <w:szCs w:val="22"/>
              </w:rPr>
            </w:pPr>
            <w:r>
              <w:rPr>
                <w:rFonts w:hint="eastAsia"/>
                <w:sz w:val="22"/>
                <w:szCs w:val="22"/>
              </w:rPr>
              <w:t>6.1 系统：WIN7 及以上系统旗舰版；</w:t>
            </w:r>
          </w:p>
          <w:p>
            <w:pPr>
              <w:jc w:val="center"/>
              <w:rPr>
                <w:sz w:val="22"/>
                <w:szCs w:val="22"/>
              </w:rPr>
            </w:pPr>
            <w:r>
              <w:rPr>
                <w:rFonts w:hint="eastAsia"/>
                <w:sz w:val="22"/>
                <w:szCs w:val="22"/>
              </w:rPr>
              <w:t>6.2 处理器（ I7 12700F ），12核20线程，睿频高达4.9Ghz；</w:t>
            </w:r>
          </w:p>
          <w:p>
            <w:pPr>
              <w:jc w:val="center"/>
              <w:rPr>
                <w:sz w:val="22"/>
                <w:szCs w:val="22"/>
              </w:rPr>
            </w:pPr>
            <w:r>
              <w:rPr>
                <w:rFonts w:hint="eastAsia"/>
                <w:sz w:val="22"/>
                <w:szCs w:val="22"/>
              </w:rPr>
              <w:t>6.3 内存条（16G DDR4 3200MHz ）；</w:t>
            </w:r>
          </w:p>
          <w:p>
            <w:pPr>
              <w:jc w:val="center"/>
              <w:rPr>
                <w:sz w:val="22"/>
                <w:szCs w:val="22"/>
              </w:rPr>
            </w:pPr>
            <w:r>
              <w:rPr>
                <w:rFonts w:hint="eastAsia"/>
                <w:sz w:val="22"/>
                <w:szCs w:val="22"/>
              </w:rPr>
              <w:t>6.4 电源：500W 及其以上；</w:t>
            </w:r>
          </w:p>
          <w:p>
            <w:pPr>
              <w:jc w:val="center"/>
              <w:rPr>
                <w:sz w:val="22"/>
                <w:szCs w:val="22"/>
              </w:rPr>
            </w:pPr>
            <w:r>
              <w:rPr>
                <w:rFonts w:hint="eastAsia"/>
                <w:sz w:val="22"/>
                <w:szCs w:val="22"/>
              </w:rPr>
              <w:t>6.5 存储（512G M.2高速固态)；</w:t>
            </w:r>
          </w:p>
          <w:p>
            <w:pPr>
              <w:jc w:val="center"/>
              <w:rPr>
                <w:sz w:val="22"/>
                <w:szCs w:val="22"/>
              </w:rPr>
            </w:pPr>
            <w:r>
              <w:rPr>
                <w:rFonts w:hint="eastAsia"/>
                <w:sz w:val="22"/>
                <w:szCs w:val="22"/>
              </w:rPr>
              <w:t>6.6 显示器（27寸 1K高清显示器）；安装包</w:t>
            </w:r>
          </w:p>
          <w:p>
            <w:pPr>
              <w:jc w:val="center"/>
              <w:rPr>
                <w:sz w:val="22"/>
                <w:szCs w:val="22"/>
              </w:rPr>
            </w:pPr>
            <w:r>
              <w:rPr>
                <w:rFonts w:hint="eastAsia"/>
                <w:sz w:val="22"/>
                <w:szCs w:val="22"/>
              </w:rPr>
              <w:t>6.7显卡（GeFroce RTX光纤追踪）</w:t>
            </w:r>
          </w:p>
          <w:p>
            <w:pPr>
              <w:jc w:val="center"/>
              <w:rPr>
                <w:sz w:val="22"/>
                <w:szCs w:val="22"/>
              </w:rPr>
            </w:pPr>
            <w:r>
              <w:rPr>
                <w:rFonts w:hint="eastAsia"/>
                <w:sz w:val="22"/>
                <w:szCs w:val="22"/>
              </w:rPr>
              <w:t>★6.8具有按峰、体积、手动收集等多种模式</w:t>
            </w:r>
          </w:p>
          <w:p>
            <w:pPr>
              <w:jc w:val="center"/>
              <w:rPr>
                <w:sz w:val="22"/>
                <w:szCs w:val="22"/>
              </w:rPr>
            </w:pPr>
            <w:r>
              <w:rPr>
                <w:rFonts w:hint="eastAsia"/>
                <w:sz w:val="22"/>
                <w:szCs w:val="22"/>
              </w:rPr>
              <w:t>★6.9具有方法数据库，可预置不同的纯化方法随时调用，一键完成自动操作；</w:t>
            </w:r>
          </w:p>
          <w:p>
            <w:pPr>
              <w:jc w:val="center"/>
              <w:rPr>
                <w:sz w:val="22"/>
                <w:szCs w:val="22"/>
              </w:rPr>
            </w:pPr>
            <w:r>
              <w:rPr>
                <w:rFonts w:hint="eastAsia"/>
                <w:sz w:val="22"/>
                <w:szCs w:val="22"/>
              </w:rPr>
              <w:t>★6.10软件具有自动进样、梯度、色谱图、馏分收集图、设备状态同图显示的功能；</w:t>
            </w:r>
          </w:p>
          <w:p>
            <w:pPr>
              <w:jc w:val="center"/>
              <w:rPr>
                <w:sz w:val="22"/>
                <w:szCs w:val="22"/>
              </w:rPr>
            </w:pPr>
            <w:r>
              <w:rPr>
                <w:rFonts w:hint="eastAsia"/>
                <w:sz w:val="22"/>
                <w:szCs w:val="22"/>
              </w:rPr>
              <w:t>★6.11软件支持色谱分峰与定量功能、数据管理、用户管理、个人管理等功能；</w:t>
            </w:r>
          </w:p>
          <w:p>
            <w:pPr>
              <w:jc w:val="center"/>
              <w:rPr>
                <w:sz w:val="22"/>
                <w:szCs w:val="22"/>
              </w:rPr>
            </w:pPr>
            <w:r>
              <w:rPr>
                <w:rFonts w:hint="eastAsia"/>
                <w:sz w:val="22"/>
                <w:szCs w:val="22"/>
              </w:rPr>
              <w:t>★6.12压力控制模块，在系统运行过程中，超压后报警暂停，或者超压后，报警系统自动降速，直至不超压；</w:t>
            </w:r>
          </w:p>
          <w:p>
            <w:pPr>
              <w:jc w:val="center"/>
              <w:rPr>
                <w:sz w:val="22"/>
                <w:szCs w:val="22"/>
              </w:rPr>
            </w:pPr>
            <w:r>
              <w:rPr>
                <w:rFonts w:hint="eastAsia"/>
                <w:sz w:val="22"/>
                <w:szCs w:val="22"/>
              </w:rPr>
              <w:t>★6.13模块化操作模式，便于系统的扩展，易于研究。</w:t>
            </w:r>
          </w:p>
          <w:p>
            <w:pPr>
              <w:jc w:val="center"/>
              <w:rPr>
                <w:sz w:val="22"/>
                <w:szCs w:val="22"/>
              </w:rPr>
            </w:pPr>
            <w:r>
              <w:rPr>
                <w:rFonts w:hint="eastAsia"/>
                <w:sz w:val="22"/>
                <w:szCs w:val="22"/>
              </w:rPr>
              <w:t>7.1 所需配件</w:t>
            </w:r>
          </w:p>
          <w:p>
            <w:pPr>
              <w:jc w:val="center"/>
              <w:rPr>
                <w:rFonts w:hint="eastAsia" w:ascii="宋体" w:hAnsi="宋体" w:cs="宋体"/>
                <w:sz w:val="24"/>
              </w:rPr>
            </w:pPr>
            <w:r>
              <w:rPr>
                <w:rFonts w:hint="eastAsia"/>
                <w:sz w:val="22"/>
                <w:szCs w:val="22"/>
              </w:rPr>
              <w:t>★8.供应商响应文件中必须附带所投品牌产品生产厂家针对此项目出具的授权书以及技术参数确认函原件并且加盖生产厂家公章，否则视为无效投标。</w:t>
            </w:r>
          </w:p>
        </w:tc>
        <w:tc>
          <w:tcPr>
            <w:tcW w:w="385" w:type="pct"/>
            <w:vAlign w:val="center"/>
          </w:tcPr>
          <w:p>
            <w:pPr>
              <w:jc w:val="center"/>
              <w:rPr>
                <w:rFonts w:ascii="宋体" w:hAnsi="宋体" w:cs="宋体"/>
                <w:sz w:val="24"/>
              </w:rPr>
            </w:pPr>
            <w:r>
              <w:rPr>
                <w:rFonts w:hint="eastAsia"/>
                <w:sz w:val="22"/>
                <w:szCs w:val="22"/>
              </w:rPr>
              <w:t>套</w:t>
            </w:r>
          </w:p>
        </w:tc>
        <w:tc>
          <w:tcPr>
            <w:tcW w:w="350" w:type="pct"/>
            <w:vAlign w:val="center"/>
          </w:tcPr>
          <w:p>
            <w:pPr>
              <w:jc w:val="center"/>
              <w:rPr>
                <w:rFonts w:ascii="宋体" w:hAnsi="宋体" w:cs="宋体"/>
                <w:sz w:val="24"/>
              </w:rPr>
            </w:pPr>
            <w:r>
              <w:rPr>
                <w:rFonts w:hint="eastAsia" w:ascii="宋体" w:hAnsi="宋体" w:cs="宋体"/>
                <w:sz w:val="24"/>
              </w:rPr>
              <w:t>1</w:t>
            </w:r>
          </w:p>
        </w:tc>
        <w:tc>
          <w:tcPr>
            <w:tcW w:w="360" w:type="pct"/>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5000" w:type="pct"/>
            <w:gridSpan w:val="7"/>
            <w:vAlign w:val="center"/>
          </w:tcPr>
          <w:p>
            <w:pPr>
              <w:jc w:val="left"/>
              <w:rPr>
                <w:rFonts w:ascii="宋体" w:hAnsi="宋体" w:cs="宋体"/>
                <w:sz w:val="24"/>
              </w:rPr>
            </w:pPr>
            <w:r>
              <w:rPr>
                <w:rFonts w:hint="eastAsia" w:ascii="宋体" w:hAnsi="宋体" w:cs="宋体"/>
                <w:b/>
                <w:bCs/>
                <w:sz w:val="24"/>
              </w:rPr>
              <w:t>★二、商务需求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996" w:type="pct"/>
            <w:gridSpan w:val="3"/>
            <w:vAlign w:val="center"/>
          </w:tcPr>
          <w:p>
            <w:pPr>
              <w:spacing w:line="260" w:lineRule="exact"/>
              <w:jc w:val="center"/>
              <w:rPr>
                <w:rFonts w:ascii="宋体" w:hAnsi="宋体" w:cs="宋体"/>
                <w:sz w:val="24"/>
              </w:rPr>
            </w:pPr>
            <w:r>
              <w:rPr>
                <w:rFonts w:hint="eastAsia" w:ascii="宋体" w:hAnsi="宋体" w:cs="宋体"/>
                <w:sz w:val="24"/>
              </w:rPr>
              <w:t>交付时间地点</w:t>
            </w:r>
          </w:p>
        </w:tc>
        <w:tc>
          <w:tcPr>
            <w:tcW w:w="3003" w:type="pct"/>
            <w:gridSpan w:val="4"/>
            <w:vAlign w:val="center"/>
          </w:tcPr>
          <w:p>
            <w:pPr>
              <w:ind w:firstLine="440" w:firstLineChars="200"/>
              <w:rPr>
                <w:rFonts w:hint="default" w:eastAsia="宋体"/>
                <w:sz w:val="22"/>
                <w:szCs w:val="22"/>
                <w:lang w:val="en-US" w:eastAsia="zh-CN"/>
              </w:rPr>
            </w:pPr>
            <w:r>
              <w:rPr>
                <w:rFonts w:hint="eastAsia"/>
                <w:sz w:val="22"/>
                <w:szCs w:val="22"/>
              </w:rPr>
              <w:t xml:space="preserve">交付地点： </w:t>
            </w:r>
            <w:r>
              <w:rPr>
                <w:rFonts w:hint="eastAsia"/>
                <w:sz w:val="22"/>
                <w:szCs w:val="22"/>
                <w:lang w:val="en-US" w:eastAsia="zh-CN"/>
              </w:rPr>
              <w:t>广西工商职业技术学院中尧校区教学楼一栋（实训楼）2楼</w:t>
            </w:r>
          </w:p>
          <w:p>
            <w:pPr>
              <w:ind w:firstLine="440" w:firstLineChars="200"/>
              <w:rPr>
                <w:rFonts w:ascii="宋体" w:hAnsi="宋体" w:cs="宋体"/>
                <w:sz w:val="22"/>
                <w:szCs w:val="22"/>
              </w:rPr>
            </w:pPr>
            <w:r>
              <w:rPr>
                <w:rFonts w:hint="eastAsia"/>
                <w:sz w:val="22"/>
                <w:szCs w:val="22"/>
              </w:rPr>
              <w:t>交付时间：自合同签订之日起 10 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sz w:val="24"/>
              </w:rPr>
            </w:pPr>
            <w:r>
              <w:rPr>
                <w:rFonts w:hint="eastAsia" w:ascii="宋体" w:hAnsi="宋体" w:cs="宋体"/>
                <w:sz w:val="24"/>
              </w:rPr>
              <w:t>付款条件（进度和方式）</w:t>
            </w:r>
          </w:p>
        </w:tc>
        <w:tc>
          <w:tcPr>
            <w:tcW w:w="3003" w:type="pct"/>
            <w:gridSpan w:val="4"/>
            <w:vAlign w:val="center"/>
          </w:tcPr>
          <w:p>
            <w:pPr>
              <w:ind w:firstLine="440" w:firstLineChars="200"/>
              <w:rPr>
                <w:rFonts w:ascii="宋体" w:hAnsi="宋体" w:cs="宋体"/>
                <w:sz w:val="22"/>
                <w:szCs w:val="22"/>
              </w:rPr>
            </w:pPr>
            <w:r>
              <w:rPr>
                <w:rFonts w:hint="eastAsia"/>
                <w:sz w:val="22"/>
                <w:szCs w:val="22"/>
              </w:rPr>
              <w:t>验收前，供应商支付合同金额 2%履约保证金给学院。验收合格后，学院在 30 日内支付合同金额 100%给供应商（供应商须开具合法发票给学院）。验收合格满 1 年后，学院退回履约保证金给供应商（不计利息）。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sz w:val="24"/>
              </w:rPr>
            </w:pPr>
            <w:r>
              <w:rPr>
                <w:rFonts w:hint="eastAsia" w:ascii="宋体" w:hAnsi="宋体" w:cs="宋体"/>
                <w:sz w:val="24"/>
              </w:rPr>
              <w:t>包装和运输</w:t>
            </w:r>
          </w:p>
        </w:tc>
        <w:tc>
          <w:tcPr>
            <w:tcW w:w="3003" w:type="pct"/>
            <w:gridSpan w:val="4"/>
            <w:vAlign w:val="center"/>
          </w:tcPr>
          <w:p>
            <w:pPr>
              <w:ind w:firstLine="440" w:firstLineChars="200"/>
              <w:rPr>
                <w:rFonts w:ascii="宋体" w:hAnsi="宋体" w:cs="宋体"/>
                <w:sz w:val="24"/>
              </w:rPr>
            </w:pPr>
            <w:r>
              <w:rPr>
                <w:rFonts w:hint="eastAsia"/>
                <w:sz w:val="22"/>
                <w:szCs w:val="22"/>
              </w:rPr>
              <w:t>妥善包装，合理安排运输工具，避免在搬运和运输中损伤货物。运损的货物，必须返厂使用相同工艺修复或，不得在交付地或中途擅自修复。南宁市（含武鸣区）内价格含税、运费配送费、安装费等。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sz w:val="24"/>
              </w:rPr>
            </w:pPr>
            <w:r>
              <w:rPr>
                <w:rFonts w:hint="eastAsia" w:ascii="宋体" w:hAnsi="宋体" w:cs="宋体"/>
                <w:sz w:val="24"/>
              </w:rPr>
              <w:t>售后服务及保险等</w:t>
            </w:r>
          </w:p>
        </w:tc>
        <w:tc>
          <w:tcPr>
            <w:tcW w:w="3003" w:type="pct"/>
            <w:gridSpan w:val="4"/>
            <w:vAlign w:val="center"/>
          </w:tcPr>
          <w:p>
            <w:pPr>
              <w:ind w:firstLine="440" w:firstLineChars="200"/>
              <w:rPr>
                <w:sz w:val="22"/>
                <w:szCs w:val="22"/>
              </w:rPr>
            </w:pPr>
            <w:r>
              <w:rPr>
                <w:rFonts w:hint="eastAsia"/>
                <w:sz w:val="22"/>
                <w:szCs w:val="22"/>
              </w:rPr>
              <w:t>1、整机保修壹年(自交货并验收合格之日起计，不含耗材)，投标产品终身负责上门维修(配件耗材费用另计)。</w:t>
            </w:r>
          </w:p>
          <w:p>
            <w:pPr>
              <w:ind w:firstLine="440" w:firstLineChars="200"/>
              <w:rPr>
                <w:sz w:val="22"/>
                <w:szCs w:val="22"/>
              </w:rPr>
            </w:pPr>
            <w:r>
              <w:rPr>
                <w:rFonts w:hint="eastAsia"/>
                <w:sz w:val="22"/>
                <w:szCs w:val="22"/>
              </w:rPr>
              <w:t>2、故障响应时间:成交供应商接到故障通知后在 4 小时内到达采购人指定现场，影响使用等紧急情况 6小时内修复，常规维修、保养 24 小时内(不影响使用)。</w:t>
            </w:r>
          </w:p>
          <w:p>
            <w:pPr>
              <w:ind w:firstLine="440" w:firstLineChars="200"/>
              <w:rPr>
                <w:rFonts w:asciiTheme="minorEastAsia" w:hAnsiTheme="minorEastAsia" w:eastAsiaTheme="minorEastAsia" w:cstheme="minorEastAsia"/>
                <w:sz w:val="22"/>
                <w:szCs w:val="22"/>
              </w:rPr>
            </w:pPr>
            <w:r>
              <w:rPr>
                <w:rFonts w:hint="eastAsia"/>
                <w:sz w:val="22"/>
                <w:szCs w:val="22"/>
              </w:rPr>
              <w:t>3、乙方应按国家有关规定及厂家承诺实行“三包”，要求免费送货上门、免费安装调试至验收合格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sz w:val="24"/>
              </w:rPr>
            </w:pPr>
            <w:r>
              <w:rPr>
                <w:rFonts w:hint="eastAsia" w:ascii="宋体" w:hAnsi="宋体" w:cs="宋体"/>
                <w:sz w:val="24"/>
              </w:rPr>
              <w:t>履约验收要求</w:t>
            </w:r>
          </w:p>
        </w:tc>
        <w:tc>
          <w:tcPr>
            <w:tcW w:w="3003" w:type="pct"/>
            <w:gridSpan w:val="4"/>
            <w:vAlign w:val="center"/>
          </w:tcPr>
          <w:p>
            <w:pPr>
              <w:ind w:firstLine="440" w:firstLineChars="200"/>
              <w:rPr>
                <w:rFonts w:asciiTheme="minorEastAsia" w:hAnsiTheme="minorEastAsia" w:eastAsiaTheme="minorEastAsia" w:cstheme="minorEastAsia"/>
                <w:sz w:val="22"/>
                <w:szCs w:val="22"/>
              </w:rPr>
            </w:pPr>
            <w:r>
              <w:rPr>
                <w:rFonts w:hint="eastAsia"/>
                <w:sz w:val="22"/>
                <w:szCs w:val="22"/>
              </w:rPr>
              <w:t>采购方将严格按照采购文件要求进行验收。验收不合格的，成交供应商需承担被采购人终止合同的一切风险和费用。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sz w:val="24"/>
              </w:rPr>
            </w:pPr>
            <w:r>
              <w:rPr>
                <w:rFonts w:hint="eastAsia" w:ascii="宋体" w:hAnsi="宋体" w:cs="宋体"/>
                <w:sz w:val="24"/>
              </w:rPr>
              <w:t>报价要求</w:t>
            </w:r>
          </w:p>
        </w:tc>
        <w:tc>
          <w:tcPr>
            <w:tcW w:w="3003" w:type="pct"/>
            <w:gridSpan w:val="4"/>
            <w:vAlign w:val="center"/>
          </w:tcPr>
          <w:p>
            <w:pPr>
              <w:ind w:firstLine="440" w:firstLineChars="200"/>
              <w:rPr>
                <w:sz w:val="22"/>
                <w:szCs w:val="22"/>
              </w:rPr>
            </w:pPr>
            <w:r>
              <w:rPr>
                <w:rFonts w:hint="eastAsia"/>
                <w:sz w:val="22"/>
                <w:szCs w:val="22"/>
              </w:rPr>
              <w:t>1、成交人保证向采购人提供的货物是全新、完整、未使用过的。</w:t>
            </w:r>
          </w:p>
          <w:p>
            <w:pPr>
              <w:ind w:firstLine="440" w:firstLineChars="200"/>
              <w:rPr>
                <w:sz w:val="22"/>
                <w:szCs w:val="22"/>
              </w:rPr>
            </w:pPr>
            <w:r>
              <w:rPr>
                <w:rFonts w:hint="eastAsia"/>
                <w:sz w:val="22"/>
                <w:szCs w:val="22"/>
              </w:rPr>
              <w:t>2、竞标报价为采购人指定地点的现场交货价，包括：</w:t>
            </w:r>
          </w:p>
          <w:p>
            <w:pPr>
              <w:ind w:firstLine="440" w:firstLineChars="200"/>
              <w:rPr>
                <w:sz w:val="22"/>
                <w:szCs w:val="22"/>
              </w:rPr>
            </w:pPr>
            <w:r>
              <w:rPr>
                <w:rFonts w:hint="eastAsia"/>
                <w:sz w:val="22"/>
                <w:szCs w:val="22"/>
              </w:rPr>
              <w:t>（1）货物的价格：包括货款、杂配件、安装调试费、验收费、系统集成费及后端系统联调费等；</w:t>
            </w:r>
          </w:p>
          <w:p>
            <w:pPr>
              <w:ind w:firstLine="440" w:firstLineChars="200"/>
              <w:rPr>
                <w:sz w:val="22"/>
                <w:szCs w:val="22"/>
              </w:rPr>
            </w:pPr>
            <w:r>
              <w:rPr>
                <w:rFonts w:hint="eastAsia"/>
                <w:sz w:val="22"/>
                <w:szCs w:val="22"/>
              </w:rPr>
              <w:t>（2）货物的标准附件、备品备件、专用工具的价格；</w:t>
            </w:r>
          </w:p>
          <w:p>
            <w:pPr>
              <w:ind w:firstLine="440" w:firstLineChars="200"/>
              <w:rPr>
                <w:sz w:val="22"/>
                <w:szCs w:val="22"/>
              </w:rPr>
            </w:pPr>
            <w:r>
              <w:rPr>
                <w:rFonts w:hint="eastAsia"/>
                <w:sz w:val="22"/>
                <w:szCs w:val="22"/>
              </w:rPr>
              <w:t>（3）运输、装卸、垃圾清理搬运、调试、培训、技术支持、售后服务费；</w:t>
            </w:r>
          </w:p>
          <w:p>
            <w:pPr>
              <w:ind w:firstLine="440" w:firstLineChars="200"/>
              <w:rPr>
                <w:sz w:val="22"/>
                <w:szCs w:val="22"/>
              </w:rPr>
            </w:pPr>
            <w:r>
              <w:rPr>
                <w:rFonts w:hint="eastAsia"/>
                <w:sz w:val="22"/>
                <w:szCs w:val="22"/>
              </w:rPr>
              <w:t>（4）招标代理服务费、必要的保险费和各项税金；</w:t>
            </w:r>
          </w:p>
          <w:p>
            <w:pPr>
              <w:ind w:firstLine="440" w:firstLineChars="200"/>
              <w:rPr>
                <w:sz w:val="22"/>
                <w:szCs w:val="22"/>
              </w:rPr>
            </w:pPr>
            <w:r>
              <w:rPr>
                <w:rFonts w:hint="eastAsia"/>
                <w:sz w:val="22"/>
                <w:szCs w:val="22"/>
              </w:rPr>
              <w:t>（5）采购人项目验收如需聘请第三方参与共同验收的，成交人须承担全部验收费用。</w:t>
            </w:r>
          </w:p>
          <w:p>
            <w:pPr>
              <w:ind w:firstLine="440" w:firstLineChars="200"/>
              <w:rPr>
                <w:sz w:val="22"/>
                <w:szCs w:val="22"/>
              </w:rPr>
            </w:pPr>
            <w:r>
              <w:rPr>
                <w:rFonts w:hint="eastAsia"/>
                <w:sz w:val="22"/>
                <w:szCs w:val="22"/>
              </w:rPr>
              <w:t>3、请严格按照报价清单每一项一一列举报价，如有漏项则作废处理。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996" w:type="pct"/>
            <w:gridSpan w:val="3"/>
            <w:vAlign w:val="center"/>
          </w:tcPr>
          <w:p>
            <w:pPr>
              <w:jc w:val="center"/>
              <w:rPr>
                <w:rFonts w:ascii="宋体" w:hAnsi="宋体" w:cs="宋体"/>
                <w:sz w:val="24"/>
              </w:rPr>
            </w:pPr>
            <w:r>
              <w:rPr>
                <w:rFonts w:hint="eastAsia" w:ascii="宋体" w:hAnsi="宋体" w:cs="宋体"/>
                <w:sz w:val="24"/>
              </w:rPr>
              <w:t>其他要求</w:t>
            </w:r>
          </w:p>
        </w:tc>
        <w:tc>
          <w:tcPr>
            <w:tcW w:w="3003" w:type="pct"/>
            <w:gridSpan w:val="4"/>
            <w:vAlign w:val="center"/>
          </w:tcPr>
          <w:p>
            <w:pPr>
              <w:ind w:firstLine="440" w:firstLineChars="200"/>
              <w:rPr>
                <w:sz w:val="22"/>
                <w:szCs w:val="22"/>
              </w:rPr>
            </w:pPr>
            <w:r>
              <w:rPr>
                <w:rFonts w:hint="eastAsia"/>
                <w:sz w:val="22"/>
                <w:szCs w:val="22"/>
              </w:rPr>
              <w:t>1、标注“★”号的条款为本次采购的实质性的商务、技术或服务要求，投标人须满足或响应，若无法完</w:t>
            </w:r>
          </w:p>
          <w:p>
            <w:pPr>
              <w:ind w:firstLine="440" w:firstLineChars="200"/>
              <w:rPr>
                <w:sz w:val="22"/>
                <w:szCs w:val="22"/>
              </w:rPr>
            </w:pPr>
            <w:r>
              <w:rPr>
                <w:rFonts w:hint="eastAsia"/>
                <w:sz w:val="22"/>
                <w:szCs w:val="22"/>
              </w:rPr>
              <w:t>全满足，将会被认定为响应无效。</w:t>
            </w:r>
          </w:p>
          <w:p>
            <w:pPr>
              <w:ind w:firstLine="440" w:firstLineChars="200"/>
              <w:rPr>
                <w:sz w:val="22"/>
                <w:szCs w:val="22"/>
              </w:rPr>
            </w:pPr>
            <w:r>
              <w:rPr>
                <w:rFonts w:hint="eastAsia"/>
                <w:sz w:val="22"/>
                <w:szCs w:val="22"/>
              </w:rPr>
              <w:t>2、项目需求中有具体要求查看检测报告或其他证明文件的，请于提交响应报价表时一并上传。</w:t>
            </w:r>
          </w:p>
          <w:p>
            <w:pPr>
              <w:ind w:firstLine="440" w:firstLineChars="200"/>
              <w:rPr>
                <w:sz w:val="22"/>
                <w:szCs w:val="22"/>
              </w:rPr>
            </w:pPr>
            <w:r>
              <w:rPr>
                <w:rFonts w:hint="eastAsia"/>
                <w:sz w:val="22"/>
                <w:szCs w:val="22"/>
              </w:rPr>
              <w:t>3、响应情况需逐条说明，若无法响应或不响应则作报价无效处理。</w:t>
            </w:r>
          </w:p>
          <w:p>
            <w:pPr>
              <w:ind w:firstLine="440" w:firstLineChars="200"/>
              <w:rPr>
                <w:sz w:val="22"/>
                <w:szCs w:val="22"/>
              </w:rPr>
            </w:pPr>
            <w:r>
              <w:rPr>
                <w:rFonts w:hint="eastAsia"/>
                <w:sz w:val="22"/>
                <w:szCs w:val="22"/>
              </w:rPr>
              <w:t>4、报价响应表每页必须盖公章。</w:t>
            </w:r>
          </w:p>
          <w:p>
            <w:pPr>
              <w:ind w:firstLine="440" w:firstLineChars="200"/>
              <w:rPr>
                <w:sz w:val="22"/>
                <w:szCs w:val="22"/>
              </w:rPr>
            </w:pPr>
            <w:r>
              <w:rPr>
                <w:rFonts w:hint="eastAsia"/>
                <w:sz w:val="22"/>
                <w:szCs w:val="22"/>
              </w:rPr>
              <w:t>5、供应商所响应的设备型号及参数应能与采购人现有的设备系统相兼容，否则采购人有权拒绝响应文件。</w:t>
            </w:r>
          </w:p>
        </w:tc>
      </w:tr>
    </w:tbl>
    <w:p>
      <w:pPr>
        <w:pStyle w:val="14"/>
      </w:pPr>
    </w:p>
    <w:p>
      <w:pPr>
        <w:pStyle w:val="14"/>
        <w:sectPr>
          <w:pgSz w:w="11906" w:h="16838"/>
          <w:pgMar w:top="1440" w:right="1080" w:bottom="1440" w:left="1080" w:header="851" w:footer="992" w:gutter="0"/>
          <w:cols w:space="425" w:num="1"/>
          <w:docGrid w:type="lines" w:linePitch="312" w:charSpace="0"/>
        </w:sectPr>
      </w:pPr>
    </w:p>
    <w:p>
      <w:pPr>
        <w:pStyle w:val="2"/>
        <w:spacing w:line="360" w:lineRule="auto"/>
        <w:ind w:firstLine="2800" w:firstLineChars="700"/>
        <w:jc w:val="left"/>
        <w:rPr>
          <w:b w:val="0"/>
          <w:bCs/>
          <w:sz w:val="40"/>
          <w:szCs w:val="22"/>
        </w:rPr>
      </w:pPr>
      <w:bookmarkStart w:id="4" w:name="_Toc17117"/>
      <w:r>
        <w:rPr>
          <w:rFonts w:hint="eastAsia"/>
          <w:b w:val="0"/>
          <w:bCs/>
          <w:sz w:val="40"/>
          <w:szCs w:val="22"/>
        </w:rPr>
        <w:t>第三章 评审办法</w:t>
      </w:r>
      <w:bookmarkEnd w:id="4"/>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一、评标方法：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1、本项目采用最低评标价法。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二、成交人推荐原则：</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三、说明</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sz w:val="24"/>
          <w:highlight w:val="yellow"/>
        </w:rPr>
      </w:pPr>
      <w:r>
        <w:rPr>
          <w:rFonts w:hint="eastAsia" w:ascii="宋体" w:hAnsi="宋体" w:cs="Courier New"/>
          <w:bCs/>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32"/>
          <w:szCs w:val="32"/>
        </w:rPr>
      </w:pPr>
    </w:p>
    <w:p>
      <w:pPr>
        <w:pStyle w:val="2"/>
        <w:spacing w:line="360" w:lineRule="exact"/>
        <w:ind w:right="960" w:firstLine="2400" w:firstLineChars="600"/>
        <w:jc w:val="left"/>
        <w:rPr>
          <w:b w:val="0"/>
          <w:bCs/>
          <w:sz w:val="40"/>
          <w:szCs w:val="22"/>
        </w:rPr>
      </w:pPr>
      <w:bookmarkStart w:id="6" w:name="_Toc1359"/>
      <w:r>
        <w:rPr>
          <w:rFonts w:hint="eastAsia"/>
          <w:b w:val="0"/>
          <w:bCs/>
          <w:sz w:val="40"/>
          <w:szCs w:val="22"/>
        </w:rPr>
        <w:t>第四章 响应文件格式</w:t>
      </w:r>
      <w:bookmarkEnd w:id="5"/>
      <w:bookmarkEnd w:id="6"/>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供应商名称（盖章）</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60" w:lineRule="exact"/>
        <w:rPr>
          <w:rFonts w:ascii="宋体" w:hAnsi="宋体"/>
          <w:b/>
          <w:szCs w:val="21"/>
        </w:rPr>
      </w:pPr>
    </w:p>
    <w:p>
      <w:pPr>
        <w:spacing w:line="360" w:lineRule="exact"/>
        <w:rPr>
          <w:rFonts w:ascii="宋体" w:hAnsi="宋体"/>
          <w:b/>
          <w:szCs w:val="21"/>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spacing w:line="360" w:lineRule="exact"/>
        <w:ind w:right="960"/>
        <w:rPr>
          <w:rFonts w:asciiTheme="majorEastAsia" w:hAnsiTheme="majorEastAsia" w:eastAsiaTheme="majorEastAsia"/>
          <w:b/>
          <w:sz w:val="32"/>
          <w:szCs w:val="32"/>
        </w:rPr>
      </w:pP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spacing w:line="360" w:lineRule="auto"/>
        <w:jc w:val="center"/>
        <w:rPr>
          <w:rFonts w:ascii="宋体" w:hAnsi="宋体" w:cs="宋体"/>
          <w:b/>
          <w:sz w:val="32"/>
          <w:szCs w:val="32"/>
        </w:rPr>
      </w:pPr>
      <w:r>
        <w:rPr>
          <w:rFonts w:hint="eastAsia" w:ascii="宋体" w:hAnsi="宋体" w:cs="宋体"/>
          <w:b/>
          <w:sz w:val="32"/>
          <w:szCs w:val="32"/>
        </w:rPr>
        <w:t>响应文件资料清单</w:t>
      </w:r>
    </w:p>
    <w:p>
      <w:pPr>
        <w:spacing w:line="360" w:lineRule="auto"/>
        <w:rPr>
          <w:rFonts w:ascii="宋体" w:hAnsi="宋体" w:cs="宋体"/>
          <w:bCs/>
          <w:sz w:val="24"/>
        </w:rPr>
      </w:pPr>
      <w:r>
        <w:rPr>
          <w:rFonts w:hint="eastAsia" w:ascii="宋体" w:hAnsi="宋体" w:cs="宋体"/>
          <w:b/>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第一部分：价格文件</w:t>
      </w:r>
    </w:p>
    <w:p>
      <w:pPr>
        <w:spacing w:line="360" w:lineRule="auto"/>
        <w:rPr>
          <w:rFonts w:ascii="宋体" w:hAnsi="宋体" w:cs="宋体"/>
          <w:b/>
          <w:bCs/>
          <w:sz w:val="24"/>
        </w:rPr>
      </w:pPr>
      <w:r>
        <w:rPr>
          <w:rFonts w:hint="eastAsia" w:ascii="宋体" w:hAnsi="宋体" w:cs="宋体"/>
          <w:b/>
          <w:bCs/>
          <w:sz w:val="24"/>
        </w:rPr>
        <w:t>1.报价表；（附件一）[必须提供]</w:t>
      </w:r>
    </w:p>
    <w:p>
      <w:pPr>
        <w:spacing w:line="360" w:lineRule="auto"/>
        <w:rPr>
          <w:rFonts w:ascii="宋体" w:hAnsi="宋体" w:cs="宋体"/>
          <w:sz w:val="24"/>
        </w:rPr>
      </w:pPr>
      <w:r>
        <w:rPr>
          <w:rFonts w:hint="eastAsia" w:ascii="宋体" w:hAnsi="宋体" w:cs="宋体"/>
          <w:sz w:val="24"/>
        </w:rPr>
        <w:t xml:space="preserve"> 第二部分：商务技术文件（以下文件要求必须提供的文件应加盖公章按要求提供，否则竞标无效。）</w:t>
      </w:r>
    </w:p>
    <w:p>
      <w:pPr>
        <w:spacing w:line="360" w:lineRule="auto"/>
        <w:rPr>
          <w:rFonts w:ascii="宋体" w:hAnsi="宋体" w:cs="宋体"/>
          <w:b/>
          <w:bCs/>
          <w:sz w:val="24"/>
        </w:rPr>
      </w:pPr>
      <w:r>
        <w:rPr>
          <w:rFonts w:hint="eastAsia" w:ascii="宋体" w:hAnsi="宋体" w:cs="宋体"/>
          <w:b/>
          <w:bCs/>
          <w:sz w:val="24"/>
        </w:rPr>
        <w:t>2.商务、服务响应、偏离情况说明表；（附件二）[必须提供]</w:t>
      </w:r>
    </w:p>
    <w:p>
      <w:pPr>
        <w:spacing w:line="360" w:lineRule="auto"/>
        <w:rPr>
          <w:rFonts w:ascii="宋体" w:hAnsi="宋体" w:cs="宋体"/>
          <w:b/>
          <w:bCs/>
          <w:sz w:val="24"/>
        </w:rPr>
      </w:pPr>
      <w:r>
        <w:rPr>
          <w:rFonts w:hint="eastAsia" w:ascii="宋体" w:hAnsi="宋体" w:cs="宋体"/>
          <w:b/>
          <w:bCs/>
          <w:sz w:val="24"/>
        </w:rPr>
        <w:t>3.法定代表人身份证正、反面复印件；（附件三）[必须提供]</w:t>
      </w:r>
    </w:p>
    <w:p>
      <w:pPr>
        <w:spacing w:line="360" w:lineRule="auto"/>
        <w:rPr>
          <w:rFonts w:ascii="宋体" w:hAnsi="宋体" w:cs="宋体"/>
          <w:b/>
          <w:bCs/>
          <w:sz w:val="24"/>
        </w:rPr>
      </w:pPr>
      <w:r>
        <w:rPr>
          <w:rFonts w:hint="eastAsia" w:ascii="宋体" w:hAnsi="宋体" w:cs="宋体"/>
          <w:b/>
          <w:bCs/>
          <w:sz w:val="24"/>
        </w:rPr>
        <w:t xml:space="preserve">4.法定代表人授权委托书原件和委托代理人身份证正、反面复印件；（附件四） [委托代理时必须提供]； </w:t>
      </w:r>
    </w:p>
    <w:p>
      <w:pPr>
        <w:spacing w:line="360" w:lineRule="auto"/>
        <w:rPr>
          <w:rFonts w:ascii="宋体" w:hAnsi="宋体" w:cs="宋体"/>
          <w:sz w:val="24"/>
        </w:rPr>
      </w:pPr>
      <w:r>
        <w:rPr>
          <w:rFonts w:hint="eastAsia" w:ascii="宋体" w:hAnsi="宋体" w:cs="宋体"/>
          <w:b/>
          <w:bCs/>
          <w:sz w:val="24"/>
        </w:rPr>
        <w:t>5.有效的主体资格证明文件复印件（附件五）：</w:t>
      </w:r>
    </w:p>
    <w:p>
      <w:pPr>
        <w:spacing w:line="360" w:lineRule="auto"/>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spacing w:line="360" w:lineRule="auto"/>
        <w:rPr>
          <w:rFonts w:ascii="宋体" w:hAnsi="宋体" w:cs="宋体"/>
          <w:b/>
          <w:bCs/>
          <w:sz w:val="24"/>
        </w:rPr>
      </w:pPr>
      <w:r>
        <w:rPr>
          <w:rFonts w:hint="eastAsia" w:ascii="宋体" w:hAnsi="宋体" w:cs="宋体"/>
          <w:sz w:val="24"/>
        </w:rPr>
        <w:t>②本项目的特定资格要求:</w:t>
      </w:r>
      <w:r>
        <w:rPr>
          <w:rFonts w:hint="eastAsia" w:ascii="宋体" w:hAnsi="宋体" w:cs="宋体"/>
          <w:b/>
          <w:bCs/>
          <w:sz w:val="24"/>
        </w:rPr>
        <w:t>[如有要求，必须提供]</w:t>
      </w:r>
    </w:p>
    <w:p>
      <w:pPr>
        <w:spacing w:line="360" w:lineRule="auto"/>
        <w:rPr>
          <w:rFonts w:ascii="宋体" w:hAnsi="宋体" w:cs="宋体"/>
          <w:b/>
          <w:bCs/>
          <w:sz w:val="24"/>
        </w:rPr>
      </w:pPr>
      <w:r>
        <w:rPr>
          <w:rFonts w:hint="eastAsia" w:ascii="宋体" w:hAnsi="宋体" w:cs="宋体"/>
          <w:b/>
          <w:bCs/>
          <w:sz w:val="24"/>
        </w:rPr>
        <w:t>6.供应商信用证明材料：（附件六）</w:t>
      </w:r>
    </w:p>
    <w:p>
      <w:pPr>
        <w:spacing w:line="360" w:lineRule="auto"/>
        <w:rPr>
          <w:rFonts w:ascii="宋体" w:hAnsi="宋体" w:cs="宋体"/>
          <w:sz w:val="24"/>
        </w:rPr>
      </w:pPr>
      <w:r>
        <w:rPr>
          <w:rFonts w:hint="eastAsia" w:ascii="宋体" w:hAnsi="宋体" w:cs="宋体"/>
          <w:sz w:val="24"/>
        </w:rPr>
        <w:t>①参加采购活动前三年内在经营活动中没有重大违法记录和不良信用记录的书面声明；[格式自拟，必须提供]</w:t>
      </w:r>
    </w:p>
    <w:p>
      <w:pPr>
        <w:spacing w:line="360" w:lineRule="auto"/>
        <w:rPr>
          <w:rFonts w:ascii="宋体" w:hAnsi="宋体" w:cs="宋体"/>
          <w:sz w:val="24"/>
        </w:rPr>
      </w:pPr>
      <w:r>
        <w:rPr>
          <w:rFonts w:hint="eastAsia" w:ascii="宋体" w:hAnsi="宋体" w:cs="宋体"/>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sz w:val="24"/>
        </w:rPr>
      </w:pPr>
      <w:r>
        <w:rPr>
          <w:rFonts w:hint="eastAsia" w:ascii="宋体" w:hAnsi="宋体" w:cs="宋体"/>
          <w:sz w:val="24"/>
        </w:rPr>
        <w:t xml:space="preserve">③在中国政府采购网（http://www.ccgp.gov.cn/）未纳入政府采购严重违法失信行为记录名单查询记录截图复印件加盖公章；[必须提供] </w:t>
      </w:r>
    </w:p>
    <w:p>
      <w:pPr>
        <w:spacing w:line="360" w:lineRule="auto"/>
        <w:rPr>
          <w:rFonts w:ascii="宋体" w:hAnsi="宋体" w:cs="宋体"/>
          <w:sz w:val="24"/>
        </w:rPr>
      </w:pPr>
      <w:r>
        <w:rPr>
          <w:rFonts w:hint="eastAsia" w:ascii="宋体" w:hAnsi="宋体" w:cs="宋体"/>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sz w:val="24"/>
        </w:rPr>
      </w:pPr>
      <w:r>
        <w:rPr>
          <w:rFonts w:hint="eastAsia" w:ascii="宋体" w:hAnsi="宋体" w:cs="宋体"/>
          <w:b/>
          <w:bCs/>
          <w:sz w:val="24"/>
        </w:rPr>
        <w:t>7.其他报价供应商认为需要提供的材料</w:t>
      </w:r>
    </w:p>
    <w:p>
      <w:pPr>
        <w:spacing w:line="360" w:lineRule="auto"/>
        <w:rPr>
          <w:rFonts w:ascii="宋体" w:hAnsi="宋体" w:cs="宋体"/>
          <w:sz w:val="24"/>
          <w:highlight w:val="yellow"/>
        </w:rPr>
      </w:pPr>
      <w:r>
        <w:rPr>
          <w:rFonts w:hint="eastAsia" w:ascii="宋体" w:hAnsi="宋体" w:cs="宋体"/>
          <w:sz w:val="24"/>
          <w:highlight w:val="yellow"/>
        </w:rPr>
        <w:t>注：（未提供格式模板的资料由供应商自拟）</w:t>
      </w:r>
    </w:p>
    <w:p>
      <w:pPr>
        <w:rPr>
          <w:rFonts w:asciiTheme="majorEastAsia" w:hAnsiTheme="majorEastAsia" w:eastAsiaTheme="majorEastAsia"/>
          <w:b/>
          <w:sz w:val="32"/>
          <w:szCs w:val="32"/>
        </w:rPr>
      </w:pPr>
      <w:r>
        <w:rPr>
          <w:rFonts w:hint="eastAsia" w:asciiTheme="majorEastAsia" w:hAnsiTheme="majorEastAsia" w:eastAsiaTheme="majorEastAsia"/>
          <w:b/>
          <w:sz w:val="32"/>
          <w:szCs w:val="32"/>
        </w:rPr>
        <w:br w:type="page"/>
      </w:r>
    </w:p>
    <w:p>
      <w:pPr>
        <w:spacing w:line="360" w:lineRule="exact"/>
        <w:ind w:right="960"/>
        <w:rPr>
          <w:rFonts w:asciiTheme="majorEastAsia" w:hAnsiTheme="majorEastAsia" w:eastAsiaTheme="majorEastAsia"/>
          <w:b/>
          <w:sz w:val="28"/>
          <w:szCs w:val="28"/>
        </w:rPr>
      </w:pPr>
      <w:r>
        <w:rPr>
          <w:rFonts w:hint="eastAsia" w:asciiTheme="majorEastAsia" w:hAnsiTheme="majorEastAsia" w:eastAsiaTheme="majorEastAsia"/>
          <w:b/>
          <w:sz w:val="28"/>
          <w:szCs w:val="28"/>
        </w:rPr>
        <w:t>附件一</w:t>
      </w:r>
    </w:p>
    <w:p>
      <w:pPr>
        <w:spacing w:line="360" w:lineRule="exact"/>
        <w:ind w:right="96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报价表</w:t>
      </w:r>
    </w:p>
    <w:p>
      <w:pPr>
        <w:spacing w:line="360" w:lineRule="exact"/>
        <w:jc w:val="center"/>
        <w:rPr>
          <w:rFonts w:asciiTheme="majorEastAsia" w:hAnsiTheme="majorEastAsia" w:eastAsiaTheme="majorEastAsia"/>
          <w:b/>
          <w:sz w:val="32"/>
          <w:szCs w:val="32"/>
        </w:rPr>
      </w:pPr>
      <w:r>
        <w:rPr>
          <w:rFonts w:hint="eastAsia" w:ascii="仿宋" w:hAnsi="仿宋" w:eastAsia="仿宋" w:cs="仿宋"/>
          <w:kern w:val="0"/>
          <w:sz w:val="36"/>
          <w:szCs w:val="36"/>
          <w:u w:val="single"/>
        </w:rPr>
        <w:t>广西工商职业技术学院购买多糖凝胶纯化设备项目</w:t>
      </w:r>
    </w:p>
    <w:tbl>
      <w:tblPr>
        <w:tblStyle w:val="17"/>
        <w:tblpPr w:leftFromText="180" w:rightFromText="180" w:vertAnchor="text" w:horzAnchor="page" w:tblpX="1070" w:tblpY="296"/>
        <w:tblOverlap w:val="never"/>
        <w:tblW w:w="51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54"/>
        <w:gridCol w:w="1537"/>
        <w:gridCol w:w="1827"/>
        <w:gridCol w:w="1104"/>
        <w:gridCol w:w="1042"/>
        <w:gridCol w:w="1168"/>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367" w:type="pct"/>
            <w:vAlign w:val="center"/>
          </w:tcPr>
          <w:p>
            <w:pPr>
              <w:jc w:val="center"/>
              <w:rPr>
                <w:rFonts w:ascii="宋体" w:hAnsi="宋体" w:cs="宋体"/>
                <w:sz w:val="24"/>
              </w:rPr>
            </w:pPr>
            <w:r>
              <w:rPr>
                <w:rFonts w:hint="eastAsia" w:ascii="宋体" w:hAnsi="宋体" w:cs="宋体"/>
                <w:sz w:val="24"/>
              </w:rPr>
              <w:t>序号</w:t>
            </w:r>
          </w:p>
        </w:tc>
        <w:tc>
          <w:tcPr>
            <w:tcW w:w="847" w:type="pct"/>
            <w:vAlign w:val="center"/>
          </w:tcPr>
          <w:p>
            <w:pPr>
              <w:jc w:val="center"/>
              <w:rPr>
                <w:rFonts w:ascii="宋体" w:hAnsi="宋体" w:cs="宋体"/>
                <w:sz w:val="24"/>
              </w:rPr>
            </w:pPr>
            <w:r>
              <w:rPr>
                <w:rFonts w:hint="eastAsia" w:ascii="宋体" w:hAnsi="宋体" w:cs="宋体"/>
                <w:sz w:val="24"/>
              </w:rPr>
              <w:t>采购内容</w:t>
            </w:r>
          </w:p>
        </w:tc>
        <w:tc>
          <w:tcPr>
            <w:tcW w:w="742" w:type="pct"/>
            <w:vAlign w:val="center"/>
          </w:tcPr>
          <w:p>
            <w:pPr>
              <w:jc w:val="center"/>
              <w:rPr>
                <w:rFonts w:ascii="宋体" w:hAnsi="宋体" w:cs="宋体"/>
                <w:sz w:val="24"/>
              </w:rPr>
            </w:pPr>
            <w:r>
              <w:rPr>
                <w:rFonts w:hint="eastAsia" w:ascii="宋体" w:hAnsi="宋体" w:cs="宋体"/>
                <w:sz w:val="24"/>
              </w:rPr>
              <w:t>响应品牌型号</w:t>
            </w:r>
          </w:p>
        </w:tc>
        <w:tc>
          <w:tcPr>
            <w:tcW w:w="882" w:type="pct"/>
            <w:vAlign w:val="center"/>
          </w:tcPr>
          <w:p>
            <w:pPr>
              <w:jc w:val="center"/>
              <w:rPr>
                <w:rFonts w:ascii="宋体" w:hAnsi="宋体" w:cs="宋体"/>
                <w:sz w:val="24"/>
              </w:rPr>
            </w:pPr>
            <w:r>
              <w:rPr>
                <w:rFonts w:hint="eastAsia" w:ascii="宋体" w:hAnsi="宋体" w:cs="宋体"/>
                <w:sz w:val="24"/>
              </w:rPr>
              <w:t>单位</w:t>
            </w:r>
          </w:p>
        </w:tc>
        <w:tc>
          <w:tcPr>
            <w:tcW w:w="533" w:type="pct"/>
            <w:vAlign w:val="center"/>
          </w:tcPr>
          <w:p>
            <w:pPr>
              <w:jc w:val="center"/>
              <w:rPr>
                <w:rFonts w:ascii="宋体" w:hAnsi="宋体" w:cs="宋体"/>
                <w:sz w:val="24"/>
              </w:rPr>
            </w:pPr>
            <w:r>
              <w:rPr>
                <w:rFonts w:hint="eastAsia" w:ascii="宋体" w:hAnsi="宋体" w:cs="宋体"/>
                <w:sz w:val="24"/>
              </w:rPr>
              <w:t>数量</w:t>
            </w:r>
          </w:p>
        </w:tc>
        <w:tc>
          <w:tcPr>
            <w:tcW w:w="503" w:type="pct"/>
            <w:vAlign w:val="center"/>
          </w:tcPr>
          <w:p>
            <w:pPr>
              <w:jc w:val="center"/>
              <w:rPr>
                <w:rFonts w:ascii="宋体" w:hAnsi="宋体" w:cs="宋体"/>
                <w:sz w:val="24"/>
              </w:rPr>
            </w:pPr>
            <w:r>
              <w:rPr>
                <w:rFonts w:hint="eastAsia" w:ascii="宋体" w:hAnsi="宋体" w:cs="宋体"/>
                <w:sz w:val="24"/>
              </w:rPr>
              <w:t>单价（元）</w:t>
            </w:r>
          </w:p>
        </w:tc>
        <w:tc>
          <w:tcPr>
            <w:tcW w:w="564" w:type="pct"/>
            <w:vAlign w:val="center"/>
          </w:tcPr>
          <w:p>
            <w:pPr>
              <w:jc w:val="center"/>
              <w:rPr>
                <w:rFonts w:ascii="宋体" w:hAnsi="宋体" w:cs="宋体"/>
                <w:sz w:val="24"/>
              </w:rPr>
            </w:pPr>
            <w:r>
              <w:rPr>
                <w:rFonts w:hint="eastAsia" w:ascii="宋体" w:hAnsi="宋体" w:cs="宋体"/>
                <w:sz w:val="24"/>
              </w:rPr>
              <w:t>金额小计（元）</w:t>
            </w:r>
          </w:p>
        </w:tc>
        <w:tc>
          <w:tcPr>
            <w:tcW w:w="559" w:type="pct"/>
            <w:vAlign w:val="center"/>
          </w:tcPr>
          <w:p>
            <w:pPr>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367" w:type="pct"/>
            <w:vAlign w:val="center"/>
          </w:tcPr>
          <w:p>
            <w:pPr>
              <w:jc w:val="center"/>
              <w:rPr>
                <w:rFonts w:ascii="宋体" w:hAnsi="宋体" w:cs="宋体"/>
                <w:sz w:val="24"/>
              </w:rPr>
            </w:pPr>
            <w:r>
              <w:rPr>
                <w:rFonts w:hint="eastAsia" w:ascii="宋体" w:hAnsi="宋体" w:cs="宋体"/>
                <w:sz w:val="24"/>
              </w:rPr>
              <w:t>1</w:t>
            </w:r>
          </w:p>
        </w:tc>
        <w:tc>
          <w:tcPr>
            <w:tcW w:w="847" w:type="pct"/>
            <w:vAlign w:val="center"/>
          </w:tcPr>
          <w:p>
            <w:pPr>
              <w:widowControl/>
              <w:jc w:val="center"/>
              <w:rPr>
                <w:rFonts w:ascii="宋体" w:hAnsi="宋体" w:cs="宋体"/>
                <w:sz w:val="24"/>
              </w:rPr>
            </w:pPr>
            <w:r>
              <w:rPr>
                <w:rFonts w:hint="eastAsia"/>
                <w:sz w:val="22"/>
                <w:szCs w:val="22"/>
              </w:rPr>
              <w:t>凝胶纯化设备</w:t>
            </w:r>
          </w:p>
        </w:tc>
        <w:tc>
          <w:tcPr>
            <w:tcW w:w="742" w:type="pct"/>
            <w:vAlign w:val="center"/>
          </w:tcPr>
          <w:p>
            <w:pPr>
              <w:jc w:val="center"/>
              <w:rPr>
                <w:rFonts w:ascii="宋体" w:hAnsi="宋体" w:cs="宋体"/>
                <w:sz w:val="24"/>
              </w:rPr>
            </w:pPr>
          </w:p>
        </w:tc>
        <w:tc>
          <w:tcPr>
            <w:tcW w:w="882" w:type="pct"/>
            <w:vAlign w:val="center"/>
          </w:tcPr>
          <w:p>
            <w:pPr>
              <w:jc w:val="center"/>
              <w:rPr>
                <w:rFonts w:ascii="宋体" w:hAnsi="宋体" w:cs="宋体"/>
                <w:sz w:val="24"/>
              </w:rPr>
            </w:pPr>
            <w:r>
              <w:rPr>
                <w:rFonts w:hint="eastAsia" w:ascii="宋体" w:hAnsi="宋体" w:cs="宋体"/>
                <w:sz w:val="24"/>
              </w:rPr>
              <w:t>套</w:t>
            </w:r>
          </w:p>
        </w:tc>
        <w:tc>
          <w:tcPr>
            <w:tcW w:w="533" w:type="pct"/>
            <w:vAlign w:val="center"/>
          </w:tcPr>
          <w:p>
            <w:pPr>
              <w:jc w:val="center"/>
              <w:rPr>
                <w:rFonts w:ascii="宋体" w:hAnsi="宋体" w:cs="宋体"/>
                <w:sz w:val="24"/>
              </w:rPr>
            </w:pPr>
            <w:r>
              <w:rPr>
                <w:rFonts w:hint="eastAsia" w:ascii="宋体" w:hAnsi="宋体" w:cs="宋体"/>
                <w:sz w:val="24"/>
              </w:rPr>
              <w:t>1</w:t>
            </w:r>
          </w:p>
        </w:tc>
        <w:tc>
          <w:tcPr>
            <w:tcW w:w="503" w:type="pct"/>
            <w:vAlign w:val="center"/>
          </w:tcPr>
          <w:p>
            <w:pPr>
              <w:jc w:val="center"/>
              <w:rPr>
                <w:rFonts w:ascii="宋体" w:hAnsi="宋体" w:cs="宋体"/>
                <w:sz w:val="24"/>
              </w:rPr>
            </w:pPr>
          </w:p>
        </w:tc>
        <w:tc>
          <w:tcPr>
            <w:tcW w:w="564" w:type="pct"/>
            <w:vAlign w:val="center"/>
          </w:tcPr>
          <w:p>
            <w:pPr>
              <w:jc w:val="center"/>
              <w:rPr>
                <w:rFonts w:ascii="宋体" w:hAnsi="宋体" w:cs="宋体"/>
                <w:sz w:val="24"/>
              </w:rPr>
            </w:pPr>
          </w:p>
        </w:tc>
        <w:tc>
          <w:tcPr>
            <w:tcW w:w="559" w:type="pct"/>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5000" w:type="pct"/>
            <w:gridSpan w:val="8"/>
            <w:vAlign w:val="center"/>
          </w:tcPr>
          <w:p>
            <w:pPr>
              <w:jc w:val="left"/>
              <w:rPr>
                <w:rFonts w:ascii="宋体" w:hAnsi="宋体" w:cs="宋体"/>
                <w:sz w:val="24"/>
              </w:rPr>
            </w:pPr>
          </w:p>
          <w:p>
            <w:pPr>
              <w:jc w:val="left"/>
              <w:rPr>
                <w:rFonts w:ascii="宋体" w:hAnsi="宋体" w:cs="宋体"/>
                <w:sz w:val="24"/>
              </w:rPr>
            </w:pPr>
            <w:r>
              <w:rPr>
                <w:rFonts w:hint="eastAsia" w:ascii="宋体" w:hAnsi="宋体" w:cs="宋体"/>
                <w:sz w:val="24"/>
              </w:rPr>
              <w:t>金额合计：人民币大写：</w:t>
            </w:r>
            <w:r>
              <w:rPr>
                <w:rFonts w:hint="eastAsia" w:ascii="宋体" w:hAnsi="宋体" w:cs="宋体"/>
                <w:sz w:val="24"/>
                <w:u w:val="single"/>
              </w:rPr>
              <w:t xml:space="preserve">                       </w:t>
            </w:r>
            <w:r>
              <w:rPr>
                <w:rFonts w:hint="eastAsia" w:ascii="宋体" w:hAnsi="宋体" w:cs="宋体"/>
                <w:sz w:val="24"/>
              </w:rPr>
              <w:t>（¥          ）</w:t>
            </w:r>
          </w:p>
          <w:p>
            <w:pPr>
              <w:spacing w:line="26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5000" w:type="pct"/>
            <w:gridSpan w:val="8"/>
            <w:vAlign w:val="center"/>
          </w:tcPr>
          <w:p>
            <w:pPr>
              <w:spacing w:line="360" w:lineRule="auto"/>
              <w:jc w:val="left"/>
              <w:rPr>
                <w:rFonts w:ascii="宋体" w:hAnsi="宋体" w:cs="宋体"/>
                <w:sz w:val="24"/>
              </w:rPr>
            </w:pPr>
            <w:r>
              <w:rPr>
                <w:rFonts w:hint="eastAsia" w:ascii="宋体" w:hAnsi="宋体" w:cs="宋体"/>
                <w:sz w:val="24"/>
              </w:rPr>
              <w:t>注：1.总报价不能超过最高限价和项目预算，否则报价无效。报价含税、运输费、人工费等所有费用。</w:t>
            </w:r>
          </w:p>
          <w:p>
            <w:pPr>
              <w:jc w:val="left"/>
              <w:rPr>
                <w:rFonts w:ascii="宋体" w:hAnsi="宋体" w:cs="宋体"/>
                <w:sz w:val="24"/>
              </w:rPr>
            </w:pPr>
            <w:r>
              <w:rPr>
                <w:rFonts w:hint="eastAsia" w:ascii="宋体" w:hAnsi="宋体" w:cs="宋体"/>
                <w:sz w:val="24"/>
              </w:rPr>
              <w:t>2.所有价格用人民币表示，单位为元，精确到小数点后两位数。</w:t>
            </w:r>
          </w:p>
          <w:p>
            <w:pPr>
              <w:spacing w:line="260" w:lineRule="exact"/>
              <w:rPr>
                <w:rFonts w:ascii="宋体" w:hAnsi="宋体" w:cs="宋体"/>
                <w:sz w:val="24"/>
              </w:rPr>
            </w:pPr>
          </w:p>
        </w:tc>
      </w:tr>
    </w:tbl>
    <w:p>
      <w:pPr>
        <w:rPr>
          <w:rFonts w:ascii="宋体" w:hAnsi="宋体" w:cs="宋体"/>
          <w:sz w:val="24"/>
        </w:rPr>
      </w:pPr>
    </w:p>
    <w:p>
      <w:pPr>
        <w:spacing w:line="500" w:lineRule="exact"/>
        <w:ind w:right="1518"/>
        <w:jc w:val="right"/>
        <w:rPr>
          <w:rFonts w:ascii="宋体" w:hAnsi="宋体" w:cs="宋体"/>
          <w:sz w:val="24"/>
        </w:rPr>
      </w:pPr>
    </w:p>
    <w:p>
      <w:pPr>
        <w:spacing w:line="500" w:lineRule="exact"/>
        <w:ind w:right="1518"/>
        <w:jc w:val="right"/>
        <w:rPr>
          <w:rFonts w:ascii="宋体" w:hAnsi="宋体"/>
          <w:sz w:val="28"/>
          <w:szCs w:val="28"/>
        </w:rPr>
      </w:pPr>
      <w:r>
        <w:rPr>
          <w:rFonts w:hint="eastAsia" w:ascii="宋体" w:hAnsi="宋体"/>
          <w:sz w:val="28"/>
          <w:szCs w:val="28"/>
        </w:rPr>
        <w:t>供应商（盖章）：</w:t>
      </w:r>
    </w:p>
    <w:p>
      <w:pPr>
        <w:spacing w:line="500" w:lineRule="exact"/>
        <w:ind w:right="1518"/>
        <w:jc w:val="right"/>
        <w:rPr>
          <w:rFonts w:ascii="宋体" w:hAnsi="宋体"/>
          <w:sz w:val="28"/>
          <w:szCs w:val="28"/>
        </w:rPr>
      </w:pPr>
      <w:r>
        <w:rPr>
          <w:rFonts w:hint="eastAsia" w:ascii="宋体" w:hAnsi="宋体"/>
          <w:sz w:val="28"/>
          <w:szCs w:val="28"/>
        </w:rPr>
        <w:t>委托代理人（签字）：</w:t>
      </w:r>
    </w:p>
    <w:p>
      <w:pPr>
        <w:ind w:right="1540"/>
        <w:jc w:val="right"/>
        <w:rPr>
          <w:rFonts w:ascii="宋体" w:hAnsi="宋体"/>
          <w:kern w:val="0"/>
          <w:sz w:val="28"/>
          <w:szCs w:val="28"/>
        </w:rPr>
      </w:pPr>
      <w:r>
        <w:rPr>
          <w:rFonts w:hint="eastAsia" w:ascii="宋体" w:hAnsi="宋体"/>
          <w:kern w:val="0"/>
          <w:sz w:val="28"/>
          <w:szCs w:val="28"/>
        </w:rPr>
        <w:t>联系方式：</w:t>
      </w:r>
    </w:p>
    <w:p>
      <w:pPr>
        <w:ind w:right="1540"/>
        <w:jc w:val="right"/>
        <w:rPr>
          <w:rFonts w:ascii="宋体" w:hAnsi="宋体"/>
          <w:kern w:val="0"/>
          <w:sz w:val="28"/>
          <w:szCs w:val="28"/>
        </w:rPr>
      </w:pPr>
      <w:r>
        <w:rPr>
          <w:rFonts w:hint="eastAsia" w:ascii="宋体" w:hAnsi="宋体"/>
          <w:kern w:val="0"/>
          <w:sz w:val="28"/>
          <w:szCs w:val="28"/>
        </w:rPr>
        <w:t>时    间 ：</w:t>
      </w:r>
    </w:p>
    <w:p>
      <w:pPr>
        <w:spacing w:line="300" w:lineRule="auto"/>
        <w:jc w:val="left"/>
        <w:rPr>
          <w:rFonts w:asciiTheme="majorEastAsia" w:hAnsiTheme="majorEastAsia" w:eastAsiaTheme="majorEastAsia"/>
          <w:b/>
          <w:sz w:val="36"/>
          <w:szCs w:val="36"/>
        </w:rPr>
      </w:pPr>
    </w:p>
    <w:p>
      <w:pPr>
        <w:rPr>
          <w:rFonts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spacing w:line="300" w:lineRule="auto"/>
        <w:jc w:val="left"/>
        <w:rPr>
          <w:rFonts w:asciiTheme="majorEastAsia" w:hAnsiTheme="majorEastAsia" w:eastAsiaTheme="majorEastAsia"/>
          <w:b/>
          <w:sz w:val="36"/>
          <w:szCs w:val="36"/>
        </w:rPr>
      </w:pPr>
      <w:r>
        <w:rPr>
          <w:rFonts w:hint="eastAsia" w:asciiTheme="majorEastAsia" w:hAnsiTheme="majorEastAsia" w:eastAsiaTheme="majorEastAsia"/>
          <w:b/>
          <w:sz w:val="28"/>
          <w:szCs w:val="28"/>
        </w:rPr>
        <w:t>附件二</w:t>
      </w:r>
    </w:p>
    <w:p>
      <w:pPr>
        <w:spacing w:line="300" w:lineRule="auto"/>
        <w:jc w:val="center"/>
        <w:rPr>
          <w:rFonts w:ascii="宋体" w:hAnsi="宋体"/>
          <w:b/>
          <w:sz w:val="32"/>
          <w:szCs w:val="32"/>
        </w:rPr>
      </w:pPr>
      <w:r>
        <w:rPr>
          <w:rFonts w:hint="eastAsia" w:ascii="宋体" w:hAnsi="宋体"/>
          <w:b/>
          <w:sz w:val="32"/>
          <w:szCs w:val="32"/>
        </w:rPr>
        <w:t>商务、服务响应、偏离情况说明表</w:t>
      </w:r>
    </w:p>
    <w:p>
      <w:pPr>
        <w:spacing w:line="300" w:lineRule="auto"/>
        <w:rPr>
          <w:rFonts w:ascii="宋体" w:hAnsi="宋体"/>
          <w:szCs w:val="21"/>
        </w:rPr>
      </w:pPr>
    </w:p>
    <w:p>
      <w:pPr>
        <w:spacing w:line="500" w:lineRule="exact"/>
        <w:rPr>
          <w:rFonts w:ascii="宋体" w:hAnsi="宋体"/>
          <w:szCs w:val="21"/>
          <w:u w:val="single"/>
        </w:rPr>
      </w:pPr>
      <w:r>
        <w:rPr>
          <w:rFonts w:hint="eastAsia" w:ascii="宋体" w:hAnsi="宋体"/>
          <w:szCs w:val="21"/>
        </w:rPr>
        <w:t>采购项目名称:</w:t>
      </w:r>
    </w:p>
    <w:p>
      <w:pPr>
        <w:spacing w:line="500" w:lineRule="exact"/>
        <w:rPr>
          <w:rFonts w:ascii="宋体" w:hAnsi="宋体"/>
          <w:szCs w:val="21"/>
          <w:u w:val="single"/>
        </w:rPr>
      </w:pPr>
      <w:r>
        <w:rPr>
          <w:rFonts w:hint="eastAsia" w:ascii="宋体" w:hAnsi="宋体"/>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pPr>
            <w:r>
              <w:rPr>
                <w:rFonts w:hint="eastAsia"/>
              </w:rPr>
              <w:t>序号</w:t>
            </w:r>
          </w:p>
        </w:tc>
        <w:tc>
          <w:tcPr>
            <w:tcW w:w="3013" w:type="dxa"/>
            <w:vAlign w:val="center"/>
          </w:tcPr>
          <w:p>
            <w:pPr>
              <w:jc w:val="center"/>
            </w:pPr>
            <w:r>
              <w:rPr>
                <w:rFonts w:hint="eastAsia"/>
              </w:rPr>
              <w:t>询价文件要求</w:t>
            </w:r>
          </w:p>
        </w:tc>
        <w:tc>
          <w:tcPr>
            <w:tcW w:w="3159" w:type="dxa"/>
            <w:vAlign w:val="center"/>
          </w:tcPr>
          <w:p>
            <w:pPr>
              <w:jc w:val="center"/>
            </w:pPr>
            <w:r>
              <w:rPr>
                <w:rFonts w:hint="eastAsia"/>
              </w:rPr>
              <w:t>响应文件具体响应</w:t>
            </w:r>
          </w:p>
        </w:tc>
        <w:tc>
          <w:tcPr>
            <w:tcW w:w="1571" w:type="dxa"/>
            <w:vAlign w:val="center"/>
          </w:tcPr>
          <w:p>
            <w:pPr>
              <w:jc w:val="center"/>
            </w:pPr>
            <w:r>
              <w:rPr>
                <w:rFonts w:hint="eastAsia"/>
              </w:rPr>
              <w:t>响应/偏离</w:t>
            </w:r>
          </w:p>
        </w:tc>
        <w:tc>
          <w:tcPr>
            <w:tcW w:w="1460"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r>
              <w:rPr>
                <w:rFonts w:hint="eastAsia"/>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pPr>
            <w:r>
              <w:rPr>
                <w:rFonts w:hint="eastAsia"/>
              </w:rPr>
              <w:t>1</w:t>
            </w:r>
          </w:p>
        </w:tc>
        <w:tc>
          <w:tcPr>
            <w:tcW w:w="3013" w:type="dxa"/>
            <w:vAlign w:val="center"/>
          </w:tcPr>
          <w:p>
            <w:pPr>
              <w:jc w:val="center"/>
              <w:rPr>
                <w:rFonts w:ascii="宋体" w:hAnsi="宋体"/>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2</w:t>
            </w:r>
          </w:p>
        </w:tc>
        <w:tc>
          <w:tcPr>
            <w:tcW w:w="3013" w:type="dxa"/>
            <w:vAlign w:val="center"/>
          </w:tcPr>
          <w:p>
            <w:pPr>
              <w:tabs>
                <w:tab w:val="left" w:pos="180"/>
                <w:tab w:val="left" w:pos="1620"/>
              </w:tabs>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3</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4</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5</w:t>
            </w:r>
          </w:p>
        </w:tc>
        <w:tc>
          <w:tcPr>
            <w:tcW w:w="3013" w:type="dxa"/>
            <w:vAlign w:val="center"/>
          </w:tcPr>
          <w:p>
            <w:pPr>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6</w:t>
            </w:r>
          </w:p>
        </w:tc>
        <w:tc>
          <w:tcPr>
            <w:tcW w:w="3013" w:type="dxa"/>
            <w:vAlign w:val="center"/>
          </w:tcPr>
          <w:p>
            <w:pPr>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w:t>
            </w:r>
          </w:p>
        </w:tc>
        <w:tc>
          <w:tcPr>
            <w:tcW w:w="3013" w:type="dxa"/>
            <w:vAlign w:val="center"/>
          </w:tcPr>
          <w:p>
            <w:pPr>
              <w:jc w:val="cente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bookmarkStart w:id="7" w:name="_Toc476258666"/>
            <w:bookmarkStart w:id="8" w:name="_Toc476258667"/>
            <w:r>
              <w:rPr>
                <w:rFonts w:hint="eastAsia"/>
              </w:rPr>
              <w:t>商务部分</w:t>
            </w:r>
            <w:bookmarkEnd w:id="7"/>
            <w:r>
              <w:rPr>
                <w:rFonts w:hint="eastAsia"/>
              </w:rPr>
              <w:t>（商务要求）</w:t>
            </w:r>
            <w:bookmarkEnd w:id="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9" w:name="_Toc476258668"/>
            <w:r>
              <w:rPr>
                <w:rFonts w:hint="eastAsia"/>
              </w:rPr>
              <w:t>1</w:t>
            </w:r>
            <w:bookmarkEnd w:id="9"/>
          </w:p>
        </w:tc>
        <w:tc>
          <w:tcPr>
            <w:tcW w:w="3013" w:type="dxa"/>
            <w:vAlign w:val="center"/>
          </w:tcPr>
          <w:p>
            <w:pPr>
              <w:tabs>
                <w:tab w:val="left" w:pos="180"/>
                <w:tab w:val="left" w:pos="1620"/>
              </w:tabs>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0" w:name="_Toc476258669"/>
            <w:r>
              <w:rPr>
                <w:rFonts w:hint="eastAsia"/>
              </w:rPr>
              <w:t>2</w:t>
            </w:r>
            <w:bookmarkEnd w:id="10"/>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1" w:name="_Toc476258670"/>
            <w:r>
              <w:rPr>
                <w:rFonts w:hint="eastAsia"/>
              </w:rPr>
              <w:t>3</w:t>
            </w:r>
            <w:bookmarkEnd w:id="11"/>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r>
              <w:rPr>
                <w:rFonts w:hint="eastAsia"/>
              </w:rPr>
              <w:t>4</w:t>
            </w:r>
          </w:p>
        </w:tc>
        <w:tc>
          <w:tcPr>
            <w:tcW w:w="3013" w:type="dxa"/>
            <w:vAlign w:val="center"/>
          </w:tcPr>
          <w:p>
            <w:pPr>
              <w:jc w:val="center"/>
              <w:rPr>
                <w:rFonts w:ascii="宋体" w:hAnsi="宋体"/>
                <w:szCs w:val="21"/>
              </w:rPr>
            </w:p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r>
              <w:rPr>
                <w:rFonts w:hint="eastAsia"/>
              </w:rPr>
              <w:t>5</w:t>
            </w:r>
          </w:p>
        </w:tc>
        <w:tc>
          <w:tcPr>
            <w:tcW w:w="3013" w:type="dxa"/>
            <w:vAlign w:val="center"/>
          </w:tcPr>
          <w:p>
            <w:pPr>
              <w:jc w:val="center"/>
              <w:rPr>
                <w:rFonts w:ascii="宋体" w:hAnsi="宋体"/>
                <w:szCs w:val="21"/>
              </w:rPr>
            </w:p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bookmarkStart w:id="12" w:name="_Toc476258671"/>
            <w:r>
              <w:rPr>
                <w:rFonts w:hint="eastAsia"/>
              </w:rPr>
              <w:t>…</w:t>
            </w:r>
            <w:bookmarkEnd w:id="12"/>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bl>
    <w:p>
      <w:pPr>
        <w:adjustRightInd w:val="0"/>
        <w:snapToGrid w:val="0"/>
        <w:spacing w:line="360" w:lineRule="exact"/>
        <w:rPr>
          <w:rFonts w:ascii="宋体" w:hAnsi="宋体"/>
          <w:b/>
          <w:szCs w:val="21"/>
        </w:rPr>
      </w:pPr>
      <w:r>
        <w:rPr>
          <w:rFonts w:hint="eastAsia" w:ascii="宋体" w:hAnsi="宋体"/>
          <w:b/>
          <w:szCs w:val="21"/>
        </w:rPr>
        <w:t>说明：</w:t>
      </w:r>
      <w:r>
        <w:rPr>
          <w:rFonts w:hint="eastAsia" w:hAnsi="宋体"/>
          <w:b/>
        </w:rPr>
        <w:t>1、应写明询价</w:t>
      </w:r>
      <w:r>
        <w:rPr>
          <w:rFonts w:hint="eastAsia" w:ascii="宋体" w:hAnsi="宋体"/>
          <w:b/>
          <w:szCs w:val="21"/>
        </w:rPr>
        <w:t>响应文件对</w:t>
      </w:r>
      <w:r>
        <w:rPr>
          <w:rFonts w:hint="eastAsia"/>
          <w:b/>
        </w:rPr>
        <w:t>商务</w:t>
      </w:r>
      <w:r>
        <w:rPr>
          <w:rFonts w:hint="eastAsia" w:hAnsi="宋体"/>
          <w:b/>
        </w:rPr>
        <w:t>与服务要求的</w:t>
      </w:r>
      <w:r>
        <w:rPr>
          <w:rFonts w:hint="eastAsia" w:ascii="宋体" w:hAnsi="宋体"/>
          <w:b/>
          <w:szCs w:val="21"/>
        </w:rPr>
        <w:t>响应和偏离情况</w:t>
      </w:r>
      <w:r>
        <w:rPr>
          <w:rFonts w:hint="eastAsia"/>
          <w:b/>
          <w:bCs/>
          <w:szCs w:val="21"/>
        </w:rPr>
        <w:t>；</w:t>
      </w:r>
    </w:p>
    <w:p>
      <w:pPr>
        <w:pStyle w:val="10"/>
        <w:spacing w:line="400" w:lineRule="exact"/>
        <w:rPr>
          <w:rFonts w:hAnsi="宋体"/>
          <w:b/>
        </w:rPr>
      </w:pPr>
      <w:r>
        <w:rPr>
          <w:rFonts w:hint="eastAsia" w:hAnsi="宋体"/>
          <w:b/>
        </w:rPr>
        <w:t>2、应对照询价通知书“第二章 采购需求”中采购项目技术规格、参数及要求，逐条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0"/>
        <w:spacing w:line="360" w:lineRule="exact"/>
        <w:rPr>
          <w:rFonts w:hAnsi="宋体"/>
        </w:rPr>
      </w:pPr>
    </w:p>
    <w:p>
      <w:pPr>
        <w:pStyle w:val="10"/>
        <w:spacing w:line="500" w:lineRule="exact"/>
        <w:ind w:firstLine="4200" w:firstLineChars="2000"/>
        <w:rPr>
          <w:rFonts w:hAnsi="宋体"/>
          <w:u w:val="single"/>
        </w:rPr>
      </w:pPr>
      <w:r>
        <w:rPr>
          <w:rFonts w:hint="eastAsia" w:hAnsi="宋体"/>
        </w:rPr>
        <w:t>法定代表人或委托代理人（签字或盖章）:</w:t>
      </w:r>
      <w:r>
        <w:rPr>
          <w:rFonts w:hint="eastAsia" w:hAnsi="宋体"/>
          <w:u w:val="single"/>
        </w:rPr>
        <w:t xml:space="preserve">            </w:t>
      </w:r>
    </w:p>
    <w:p>
      <w:pPr>
        <w:spacing w:line="500" w:lineRule="exact"/>
        <w:ind w:firstLine="4200" w:firstLineChars="2000"/>
        <w:rPr>
          <w:rFonts w:ascii="宋体" w:hAnsi="宋体" w:cs="Courier New"/>
          <w:szCs w:val="21"/>
          <w:u w:val="single"/>
        </w:rPr>
      </w:pPr>
      <w:r>
        <w:rPr>
          <w:rFonts w:hint="eastAsia" w:ascii="宋体" w:hAnsi="宋体" w:cs="Courier New"/>
          <w:szCs w:val="21"/>
        </w:rPr>
        <w:t>供应商名称（盖章）：</w:t>
      </w:r>
      <w:r>
        <w:rPr>
          <w:rFonts w:hint="eastAsia" w:ascii="宋体" w:hAnsi="宋体" w:cs="Courier New"/>
          <w:szCs w:val="21"/>
          <w:u w:val="single"/>
        </w:rPr>
        <w:t xml:space="preserve">                     </w:t>
      </w:r>
    </w:p>
    <w:p>
      <w:pPr>
        <w:spacing w:line="480" w:lineRule="exact"/>
        <w:ind w:firstLine="4620" w:firstLineChars="2200"/>
        <w:rPr>
          <w:rFonts w:asciiTheme="majorEastAsia" w:hAnsiTheme="majorEastAsia" w:eastAsiaTheme="majorEastAsia"/>
          <w:bCs/>
          <w:szCs w:val="21"/>
        </w:rPr>
      </w:pPr>
      <w:r>
        <w:rPr>
          <w:rFonts w:hint="eastAsia" w:asciiTheme="majorEastAsia" w:hAnsiTheme="majorEastAsia" w:eastAsiaTheme="majorEastAsia"/>
          <w:bCs/>
          <w:szCs w:val="21"/>
        </w:rPr>
        <w:t xml:space="preserve">日期：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年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月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日 </w:t>
      </w:r>
    </w:p>
    <w:p>
      <w:pPr>
        <w:spacing w:line="520" w:lineRule="exact"/>
        <w:jc w:val="left"/>
        <w:rPr>
          <w:rFonts w:ascii="宋体" w:hAnsi="宋体"/>
          <w:b/>
          <w:sz w:val="28"/>
          <w:szCs w:val="28"/>
        </w:rPr>
      </w:pPr>
      <w:r>
        <w:rPr>
          <w:rFonts w:hint="eastAsia" w:asciiTheme="majorEastAsia" w:hAnsiTheme="majorEastAsia" w:eastAsiaTheme="majorEastAsia"/>
          <w:b/>
          <w:sz w:val="24"/>
        </w:rPr>
        <w:t xml:space="preserve">      </w:t>
      </w:r>
      <w:r>
        <w:rPr>
          <w:rFonts w:hint="eastAsia" w:ascii="宋体" w:hAnsi="宋体"/>
          <w:b/>
          <w:sz w:val="28"/>
          <w:szCs w:val="28"/>
        </w:rPr>
        <w:t>附件三</w:t>
      </w:r>
    </w:p>
    <w:p>
      <w:pPr>
        <w:spacing w:line="300" w:lineRule="auto"/>
        <w:rPr>
          <w:rFonts w:ascii="宋体" w:hAnsi="宋体"/>
          <w:b/>
          <w:szCs w:val="21"/>
        </w:rPr>
      </w:pPr>
    </w:p>
    <w:p>
      <w:pPr>
        <w:pStyle w:val="10"/>
        <w:spacing w:line="440" w:lineRule="exact"/>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法定代表人身份证明书（格式）</w:t>
      </w:r>
    </w:p>
    <w:p>
      <w:pPr>
        <w:pStyle w:val="10"/>
        <w:spacing w:line="460" w:lineRule="exact"/>
        <w:ind w:firstLine="542" w:firstLineChars="257"/>
        <w:jc w:val="center"/>
        <w:rPr>
          <w:b/>
        </w:rPr>
      </w:pPr>
    </w:p>
    <w:p>
      <w:pPr>
        <w:spacing w:line="500" w:lineRule="exact"/>
        <w:rPr>
          <w:rFonts w:ascii="仿宋" w:hAnsi="仿宋" w:eastAsia="仿宋" w:cs="仿宋"/>
          <w:szCs w:val="21"/>
        </w:rPr>
      </w:pPr>
      <w:r>
        <w:rPr>
          <w:rFonts w:hint="eastAsia" w:ascii="仿宋" w:hAnsi="仿宋" w:eastAsia="仿宋" w:cs="仿宋"/>
          <w:szCs w:val="21"/>
        </w:rPr>
        <w:t>竞 标 人：</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500" w:lineRule="exact"/>
        <w:rPr>
          <w:rFonts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pPr>
        <w:spacing w:line="500" w:lineRule="exact"/>
        <w:rPr>
          <w:rFonts w:ascii="仿宋" w:hAnsi="仿宋" w:eastAsia="仿宋" w:cs="仿宋"/>
          <w:szCs w:val="21"/>
          <w:u w:val="single"/>
        </w:rPr>
      </w:pPr>
      <w:r>
        <w:rPr>
          <w:rFonts w:hint="eastAsia" w:ascii="仿宋" w:hAnsi="仿宋" w:eastAsia="仿宋" w:cs="仿宋"/>
          <w:szCs w:val="21"/>
        </w:rPr>
        <w:t>年    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pPr>
        <w:pStyle w:val="10"/>
        <w:spacing w:line="460" w:lineRule="exact"/>
        <w:ind w:firstLine="539" w:firstLineChars="257"/>
        <w:rPr>
          <w:rFonts w:ascii="仿宋" w:hAnsi="仿宋" w:eastAsia="仿宋" w:cs="仿宋"/>
        </w:rPr>
      </w:pPr>
      <w:r>
        <w:rPr>
          <w:rFonts w:hint="eastAsia" w:ascii="仿宋" w:hAnsi="仿宋" w:eastAsia="仿宋" w:cs="仿宋"/>
        </w:rPr>
        <w:t>特此证明。</w:t>
      </w:r>
    </w:p>
    <w:p>
      <w:pPr>
        <w:pStyle w:val="10"/>
        <w:spacing w:line="460" w:lineRule="exact"/>
        <w:ind w:firstLine="539" w:firstLineChars="257"/>
        <w:rPr>
          <w:rFonts w:ascii="仿宋" w:hAnsi="仿宋" w:eastAsia="仿宋" w:cs="仿宋"/>
        </w:rPr>
      </w:pPr>
    </w:p>
    <w:p>
      <w:pPr>
        <w:pStyle w:val="10"/>
        <w:spacing w:line="460" w:lineRule="exact"/>
        <w:ind w:firstLine="539" w:firstLineChars="257"/>
        <w:rPr>
          <w:rFonts w:ascii="仿宋" w:hAnsi="仿宋" w:eastAsia="仿宋" w:cs="仿宋"/>
        </w:rPr>
      </w:pPr>
      <w:r>
        <w:rPr>
          <w:rFonts w:hint="eastAsia" w:ascii="仿宋" w:hAnsi="仿宋" w:eastAsia="仿宋" w:cs="仿宋"/>
        </w:rPr>
        <w:t>附：法定代表人有效的身份证正反面复印件，并加盖公章。</w:t>
      </w:r>
    </w:p>
    <w:p>
      <w:pPr>
        <w:pStyle w:val="10"/>
        <w:spacing w:line="460" w:lineRule="exact"/>
        <w:ind w:firstLine="539" w:firstLineChars="257"/>
        <w:rPr>
          <w:rFonts w:ascii="仿宋" w:hAnsi="仿宋" w:eastAsia="仿宋" w:cs="仿宋"/>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sz w:val="24"/>
                <w:szCs w:val="24"/>
              </w:rPr>
            </w:pPr>
            <w:r>
              <w:rPr>
                <w:rFonts w:hint="eastAsia" w:ascii="仿宋" w:hAnsi="仿宋" w:eastAsia="仿宋" w:cs="仿宋"/>
                <w:b/>
                <w:bCs/>
                <w:sz w:val="24"/>
                <w:szCs w:val="24"/>
              </w:rPr>
              <w:t>身份证正反面复印件</w:t>
            </w: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tc>
      </w:tr>
    </w:tbl>
    <w:p>
      <w:pPr>
        <w:pStyle w:val="10"/>
        <w:wordWrap w:val="0"/>
        <w:spacing w:line="460" w:lineRule="exact"/>
        <w:ind w:firstLine="539" w:firstLineChars="257"/>
        <w:jc w:val="right"/>
        <w:rPr>
          <w:rFonts w:ascii="仿宋" w:hAnsi="仿宋" w:eastAsia="仿宋" w:cs="仿宋"/>
        </w:rPr>
      </w:pPr>
      <w:r>
        <w:rPr>
          <w:rFonts w:hint="eastAsia" w:ascii="仿宋" w:hAnsi="仿宋" w:eastAsia="仿宋" w:cs="仿宋"/>
        </w:rPr>
        <w:t>供应商：（盖单位公章）</w:t>
      </w:r>
      <w:r>
        <w:rPr>
          <w:rFonts w:hint="eastAsia" w:ascii="仿宋" w:hAnsi="仿宋" w:eastAsia="仿宋" w:cs="仿宋"/>
          <w:u w:val="single"/>
        </w:rPr>
        <w:t xml:space="preserve">                     </w:t>
      </w:r>
    </w:p>
    <w:p>
      <w:pPr>
        <w:pStyle w:val="10"/>
        <w:spacing w:line="460" w:lineRule="exact"/>
        <w:ind w:firstLine="539" w:firstLineChars="257"/>
        <w:rPr>
          <w:rFonts w:ascii="仿宋" w:hAnsi="仿宋" w:eastAsia="仿宋" w:cs="仿宋"/>
        </w:rPr>
      </w:pPr>
    </w:p>
    <w:p>
      <w:pPr>
        <w:pStyle w:val="10"/>
        <w:spacing w:line="460" w:lineRule="exact"/>
        <w:ind w:firstLine="525" w:firstLineChars="250"/>
        <w:jc w:val="right"/>
        <w:rPr>
          <w:rFonts w:ascii="仿宋" w:hAnsi="仿宋" w:eastAsia="仿宋" w:cs="仿宋"/>
        </w:rPr>
      </w:pPr>
      <w:r>
        <w:rPr>
          <w:rFonts w:hint="eastAsia" w:ascii="仿宋" w:hAnsi="仿宋" w:eastAsia="仿宋" w:cs="仿宋"/>
        </w:rPr>
        <w:t>日期：   年    月    日</w:t>
      </w:r>
    </w:p>
    <w:p>
      <w:pPr>
        <w:pStyle w:val="10"/>
        <w:spacing w:line="460" w:lineRule="exact"/>
      </w:pPr>
    </w:p>
    <w:p>
      <w:pPr>
        <w:pStyle w:val="10"/>
        <w:spacing w:line="460" w:lineRule="exact"/>
      </w:pPr>
    </w:p>
    <w:p>
      <w:pPr>
        <w:pStyle w:val="15"/>
        <w:ind w:left="980" w:hanging="560"/>
        <w:rPr>
          <w:highlight w:val="yellow"/>
        </w:rPr>
      </w:pPr>
    </w:p>
    <w:p>
      <w:pPr>
        <w:pStyle w:val="15"/>
        <w:ind w:left="982" w:hanging="562"/>
        <w:rPr>
          <w:b/>
          <w:bCs/>
        </w:rPr>
      </w:pPr>
      <w:r>
        <w:rPr>
          <w:rFonts w:hint="eastAsia"/>
          <w:b/>
          <w:bCs/>
        </w:rPr>
        <w:t>附件四</w:t>
      </w:r>
    </w:p>
    <w:p>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法定代表人授权书</w:t>
      </w:r>
    </w:p>
    <w:p>
      <w:pPr>
        <w:adjustRightInd w:val="0"/>
        <w:snapToGrid w:val="0"/>
        <w:spacing w:line="300" w:lineRule="auto"/>
        <w:rPr>
          <w:rFonts w:ascii="宋体" w:hAnsi="宋体"/>
          <w:szCs w:val="21"/>
          <w:highlight w:val="yellow"/>
        </w:rPr>
      </w:pPr>
    </w:p>
    <w:p>
      <w:pPr>
        <w:snapToGrid w:val="0"/>
        <w:spacing w:before="156" w:beforeLines="50" w:after="50"/>
        <w:rPr>
          <w:rFonts w:ascii="仿宋" w:hAnsi="仿宋" w:eastAsia="仿宋" w:cs="仿宋"/>
          <w:b/>
          <w:bCs/>
          <w:sz w:val="24"/>
          <w:szCs w:val="20"/>
        </w:rPr>
      </w:pPr>
      <w:r>
        <w:rPr>
          <w:rFonts w:hint="eastAsia" w:ascii="仿宋" w:hAnsi="仿宋" w:eastAsia="仿宋" w:cs="仿宋"/>
          <w:bCs/>
          <w:sz w:val="24"/>
        </w:rPr>
        <w:t>致：</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（采购人名称）</w:t>
      </w:r>
      <w:r>
        <w:rPr>
          <w:rFonts w:hint="eastAsia" w:ascii="仿宋" w:hAnsi="仿宋" w:eastAsia="仿宋" w:cs="仿宋"/>
          <w:b/>
          <w:bCs/>
          <w:sz w:val="24"/>
        </w:rPr>
        <w:t xml:space="preserve"> </w:t>
      </w:r>
      <w:r>
        <w:rPr>
          <w:rFonts w:hint="eastAsia" w:ascii="仿宋" w:hAnsi="仿宋" w:eastAsia="仿宋" w:cs="仿宋"/>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p>
    <w:p>
      <w:pPr>
        <w:rPr>
          <w:rFonts w:ascii="宋体" w:hAnsi="宋体" w:cs="宋体"/>
          <w:b/>
          <w:bCs/>
          <w:sz w:val="28"/>
          <w:szCs w:val="28"/>
        </w:rPr>
      </w:pPr>
      <w:r>
        <w:rPr>
          <w:rFonts w:hint="eastAsia" w:ascii="宋体" w:hAnsi="宋体" w:cs="宋体"/>
          <w:b/>
          <w:bCs/>
          <w:sz w:val="28"/>
          <w:szCs w:val="28"/>
        </w:rPr>
        <w:t>附件五</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宋体" w:hAnsi="宋体" w:cs="宋体"/>
          <w:sz w:val="24"/>
        </w:rPr>
      </w:pPr>
      <w:r>
        <w:rPr>
          <w:rFonts w:hint="eastAsia" w:ascii="宋体" w:hAnsi="宋体" w:cs="宋体"/>
          <w:sz w:val="24"/>
        </w:rPr>
        <w:t xml:space="preserve">①供应商有效的“主体资格证明文件”复印件（如营业执照、事业单位法人证书、执业许可证、自然人身份证等）；[必须提供] </w:t>
      </w:r>
    </w:p>
    <w:p>
      <w:pPr>
        <w:rPr>
          <w:rFonts w:ascii="宋体" w:hAnsi="宋体" w:cs="宋体"/>
          <w:sz w:val="24"/>
        </w:rPr>
      </w:pPr>
      <w:r>
        <w:rPr>
          <w:rFonts w:hint="eastAsia" w:ascii="宋体" w:hAnsi="宋体" w:cs="宋体"/>
          <w:sz w:val="24"/>
        </w:rPr>
        <w:t>②本项目的特定资格要求:[如有要求，必须提供]</w:t>
      </w:r>
    </w:p>
    <w:p>
      <w:pPr>
        <w:jc w:val="left"/>
        <w:rPr>
          <w:rFonts w:ascii="黑体" w:hAnsi="黑体" w:eastAsia="黑体" w:cs="方正小标宋简体"/>
          <w:sz w:val="32"/>
          <w:szCs w:val="44"/>
        </w:rPr>
      </w:pPr>
      <w:r>
        <w:rPr>
          <w:rFonts w:ascii="黑体" w:hAnsi="黑体" w:eastAsia="黑体" w:cs="方正小标宋简体"/>
          <w:sz w:val="32"/>
          <w:szCs w:val="44"/>
        </w:rPr>
        <w:br w:type="page"/>
      </w:r>
    </w:p>
    <w:p>
      <w:pPr>
        <w:pStyle w:val="14"/>
      </w:pPr>
    </w:p>
    <w:p>
      <w:pPr>
        <w:autoSpaceDE w:val="0"/>
        <w:autoSpaceDN w:val="0"/>
        <w:spacing w:line="300" w:lineRule="auto"/>
        <w:ind w:left="480" w:hanging="480"/>
        <w:rPr>
          <w:rFonts w:ascii="宋体" w:hAnsi="宋体"/>
          <w:b/>
          <w:sz w:val="28"/>
          <w:szCs w:val="28"/>
        </w:rPr>
      </w:pPr>
      <w:r>
        <w:rPr>
          <w:rFonts w:hint="eastAsia" w:ascii="宋体" w:hAnsi="宋体"/>
          <w:b/>
          <w:sz w:val="28"/>
          <w:szCs w:val="28"/>
        </w:rPr>
        <w:t>附件六</w:t>
      </w:r>
    </w:p>
    <w:p>
      <w:pPr>
        <w:pStyle w:val="15"/>
        <w:ind w:left="980" w:hanging="560"/>
      </w:pPr>
    </w:p>
    <w:p>
      <w:pPr>
        <w:snapToGrid w:val="0"/>
        <w:spacing w:before="50" w:after="156" w:afterLines="50" w:line="360" w:lineRule="auto"/>
        <w:jc w:val="center"/>
        <w:rPr>
          <w:rFonts w:ascii="方正小标宋简体" w:hAnsi="方正小标宋简体" w:eastAsia="方正小标宋简体" w:cs="方正小标宋简体"/>
          <w:bCs/>
          <w:sz w:val="28"/>
          <w:szCs w:val="28"/>
        </w:rPr>
      </w:pPr>
      <w:r>
        <w:rPr>
          <w:rFonts w:hint="eastAsia" w:ascii="方正小标宋简体" w:hAnsi="方正小标宋简体" w:eastAsia="方正小标宋简体" w:cs="方正小标宋简体"/>
          <w:bCs/>
          <w:sz w:val="28"/>
          <w:szCs w:val="28"/>
        </w:rPr>
        <w:t>供应商信用证明材料</w:t>
      </w:r>
    </w:p>
    <w:p>
      <w:pPr>
        <w:pStyle w:val="74"/>
        <w:numPr>
          <w:ilvl w:val="0"/>
          <w:numId w:val="1"/>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参加采购活动前三年内在经营活动中没有重大违法记录和不良信用记录的书面声明[格式自拟，必须提供]</w:t>
      </w:r>
    </w:p>
    <w:p>
      <w:pPr>
        <w:pStyle w:val="74"/>
        <w:numPr>
          <w:ilvl w:val="0"/>
          <w:numId w:val="1"/>
        </w:numPr>
        <w:rPr>
          <w:rFonts w:ascii="宋体" w:hAnsi="宋体" w:cs="宋体"/>
          <w:bCs/>
          <w:sz w:val="24"/>
        </w:rPr>
      </w:pPr>
      <w:r>
        <w:rPr>
          <w:rFonts w:hint="eastAsia" w:ascii="宋体" w:hAnsi="宋体" w:cs="宋体"/>
          <w:bCs/>
          <w:sz w:val="24"/>
        </w:rPr>
        <w:t>信用中国网站截图[必须提供]</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3.中国政府采购网截图[必须提供]</w:t>
      </w:r>
    </w:p>
    <w:p>
      <w:pPr>
        <w:jc w:val="left"/>
        <w:rPr>
          <w:rFonts w:asciiTheme="majorEastAsia" w:hAnsiTheme="majorEastAsia" w:eastAsiaTheme="majorEastAsia"/>
          <w:b/>
          <w:sz w:val="32"/>
          <w:szCs w:val="32"/>
        </w:rPr>
      </w:pPr>
      <w:bookmarkStart w:id="13" w:name="_Toc42077370"/>
      <w:r>
        <w:rPr>
          <w:rFonts w:hint="eastAsia" w:asciiTheme="majorEastAsia" w:hAnsiTheme="majorEastAsia" w:eastAsiaTheme="majorEastAsia"/>
          <w:b/>
          <w:sz w:val="32"/>
          <w:szCs w:val="32"/>
        </w:rPr>
        <w:br w:type="page"/>
      </w:r>
    </w:p>
    <w:p>
      <w:pPr>
        <w:jc w:val="center"/>
        <w:rPr>
          <w:rFonts w:ascii="方正小标宋简体" w:hAnsi="方正小标宋简体" w:eastAsia="方正小标宋简体" w:cs="方正小标宋简体"/>
          <w:sz w:val="44"/>
          <w:szCs w:val="44"/>
        </w:rPr>
      </w:pPr>
      <w:bookmarkStart w:id="14" w:name="_Toc24643"/>
      <w:r>
        <w:rPr>
          <w:rFonts w:hint="eastAsia" w:ascii="方正小标宋简体" w:hAnsi="方正小标宋简体" w:eastAsia="方正小标宋简体" w:cs="方正小标宋简体"/>
          <w:sz w:val="44"/>
          <w:szCs w:val="44"/>
        </w:rPr>
        <w:t>第五章 合同主要条款</w:t>
      </w:r>
      <w:bookmarkEnd w:id="13"/>
      <w:bookmarkEnd w:id="14"/>
    </w:p>
    <w:p>
      <w:pPr>
        <w:spacing w:line="360" w:lineRule="exact"/>
        <w:ind w:right="960"/>
        <w:jc w:val="center"/>
        <w:rPr>
          <w:rFonts w:asciiTheme="majorEastAsia" w:hAnsiTheme="majorEastAsia" w:eastAsiaTheme="majorEastAsia"/>
          <w:b/>
          <w:sz w:val="32"/>
          <w:szCs w:val="32"/>
        </w:rPr>
      </w:pPr>
    </w:p>
    <w:p>
      <w:pPr>
        <w:spacing w:line="500" w:lineRule="exact"/>
        <w:jc w:val="center"/>
        <w:rPr>
          <w:rFonts w:ascii="宋体" w:hAnsi="宋体" w:cs="宋体"/>
          <w:b/>
          <w:bCs/>
          <w:sz w:val="44"/>
          <w:szCs w:val="52"/>
        </w:rPr>
      </w:pPr>
      <w:bookmarkStart w:id="15" w:name="_Toc15562802"/>
      <w:r>
        <w:rPr>
          <w:rFonts w:hint="eastAsia" w:ascii="宋体" w:hAnsi="宋体" w:cs="宋体"/>
          <w:b/>
          <w:bCs/>
          <w:sz w:val="44"/>
          <w:szCs w:val="52"/>
        </w:rPr>
        <w:t>广西工商职业技术学院购买多糖凝胶纯化设备项目</w:t>
      </w:r>
    </w:p>
    <w:bookmarkEnd w:id="15"/>
    <w:p>
      <w:pPr>
        <w:adjustRightInd w:val="0"/>
        <w:snapToGrid w:val="0"/>
        <w:spacing w:line="360" w:lineRule="auto"/>
        <w:rPr>
          <w:rFonts w:ascii="仿宋" w:hAnsi="仿宋" w:eastAsia="仿宋"/>
          <w:kern w:val="0"/>
          <w:sz w:val="32"/>
          <w:szCs w:val="32"/>
        </w:rPr>
      </w:pPr>
      <w:r>
        <w:rPr>
          <w:rFonts w:hint="eastAsia" w:ascii="仿宋" w:hAnsi="仿宋" w:eastAsia="仿宋"/>
          <w:kern w:val="0"/>
          <w:sz w:val="32"/>
          <w:szCs w:val="32"/>
        </w:rPr>
        <w:t>采购方（甲方）：广西工商职业技术学院</w:t>
      </w:r>
    </w:p>
    <w:p>
      <w:pPr>
        <w:pStyle w:val="68"/>
        <w:shd w:val="clear" w:color="auto" w:fill="FFFFFF"/>
        <w:adjustRightInd w:val="0"/>
        <w:snapToGrid w:val="0"/>
        <w:spacing w:before="0" w:beforeAutospacing="0" w:after="0" w:afterAutospacing="0" w:line="360" w:lineRule="auto"/>
        <w:rPr>
          <w:rFonts w:ascii="仿宋" w:hAnsi="仿宋" w:eastAsia="仿宋" w:cs="Times New Roman"/>
          <w:sz w:val="32"/>
          <w:szCs w:val="32"/>
        </w:rPr>
      </w:pPr>
      <w:r>
        <w:rPr>
          <w:rFonts w:hint="eastAsia" w:ascii="仿宋" w:hAnsi="仿宋" w:eastAsia="仿宋" w:cs="Times New Roman"/>
          <w:sz w:val="32"/>
          <w:szCs w:val="32"/>
        </w:rPr>
        <w:t>供应方（乙方)：</w:t>
      </w:r>
    </w:p>
    <w:p>
      <w:pPr>
        <w:snapToGrid w:val="0"/>
        <w:spacing w:line="400" w:lineRule="exact"/>
        <w:ind w:firstLine="640" w:firstLineChars="200"/>
        <w:jc w:val="left"/>
        <w:rPr>
          <w:rFonts w:ascii="仿宋" w:hAnsi="仿宋" w:eastAsia="仿宋"/>
          <w:kern w:val="0"/>
          <w:sz w:val="32"/>
          <w:szCs w:val="32"/>
        </w:rPr>
      </w:pPr>
      <w:r>
        <w:rPr>
          <w:rFonts w:hint="eastAsia" w:ascii="仿宋" w:hAnsi="仿宋" w:eastAsia="仿宋"/>
          <w:sz w:val="32"/>
          <w:szCs w:val="32"/>
        </w:rPr>
        <w:t>根据甲方广西工商职业技术学院购买多糖凝胶纯化设备项目采购成交的结果、《中华人民共和国民法典》及其他有关法律、法规之规定，甲乙双方经过协商，确认根据下列条款订立合同，以资共同遵照执行。</w:t>
      </w:r>
    </w:p>
    <w:p>
      <w:pPr>
        <w:pStyle w:val="59"/>
        <w:numPr>
          <w:ilvl w:val="0"/>
          <w:numId w:val="2"/>
        </w:numPr>
        <w:snapToGrid w:val="0"/>
        <w:spacing w:line="360" w:lineRule="auto"/>
        <w:ind w:firstLineChars="0"/>
        <w:rPr>
          <w:rFonts w:ascii="仿宋" w:hAnsi="仿宋" w:eastAsia="仿宋"/>
          <w:b/>
          <w:sz w:val="32"/>
          <w:szCs w:val="32"/>
        </w:rPr>
      </w:pPr>
      <w:r>
        <w:rPr>
          <w:rFonts w:hint="eastAsia" w:ascii="仿宋" w:hAnsi="仿宋" w:eastAsia="仿宋"/>
          <w:b/>
          <w:sz w:val="32"/>
          <w:szCs w:val="32"/>
        </w:rPr>
        <w:t>合同标的</w:t>
      </w:r>
    </w:p>
    <w:p>
      <w:pPr>
        <w:snapToGrid w:val="0"/>
        <w:spacing w:line="360" w:lineRule="auto"/>
        <w:rPr>
          <w:rFonts w:ascii="仿宋" w:hAnsi="仿宋" w:eastAsia="仿宋"/>
          <w:b/>
          <w:sz w:val="32"/>
          <w:szCs w:val="32"/>
        </w:rPr>
      </w:pPr>
      <w:r>
        <w:rPr>
          <w:rFonts w:hint="eastAsia" w:ascii="仿宋" w:hAnsi="仿宋" w:eastAsia="仿宋"/>
          <w:b/>
          <w:sz w:val="32"/>
          <w:szCs w:val="32"/>
        </w:rPr>
        <w:t>1.货物清单及价格</w:t>
      </w:r>
    </w:p>
    <w:tbl>
      <w:tblPr>
        <w:tblStyle w:val="17"/>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单项合价（元）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kern w:val="0"/>
                <w:sz w:val="32"/>
                <w:szCs w:val="32"/>
              </w:rPr>
            </w:pPr>
            <w:r>
              <w:rPr>
                <w:rFonts w:hint="eastAsia" w:ascii="仿宋" w:hAnsi="仿宋" w:eastAsia="仿宋"/>
                <w:kern w:val="0"/>
                <w:sz w:val="32"/>
                <w:szCs w:val="32"/>
              </w:rPr>
              <w:t>合计（含其他优惠条件）：人民币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r>
              <w:rPr>
                <w:rFonts w:ascii="仿宋" w:hAnsi="仿宋" w:eastAsia="仿宋"/>
                <w:kern w:val="0"/>
                <w:sz w:val="32"/>
                <w:szCs w:val="32"/>
              </w:rPr>
              <w:t xml:space="preserve"> </w:t>
            </w:r>
          </w:p>
        </w:tc>
      </w:tr>
    </w:tbl>
    <w:p>
      <w:pPr>
        <w:snapToGrid w:val="0"/>
        <w:spacing w:line="360" w:lineRule="auto"/>
        <w:ind w:right="420"/>
        <w:rPr>
          <w:rFonts w:ascii="仿宋" w:hAnsi="仿宋" w:eastAsia="仿宋"/>
          <w:kern w:val="0"/>
          <w:sz w:val="32"/>
          <w:szCs w:val="32"/>
        </w:rPr>
      </w:pPr>
    </w:p>
    <w:p>
      <w:pPr>
        <w:snapToGrid w:val="0"/>
        <w:spacing w:line="360" w:lineRule="auto"/>
        <w:ind w:right="420"/>
        <w:rPr>
          <w:rFonts w:ascii="仿宋" w:hAnsi="仿宋" w:eastAsia="仿宋"/>
          <w:kern w:val="0"/>
          <w:sz w:val="32"/>
          <w:szCs w:val="32"/>
        </w:rPr>
      </w:pPr>
      <w:r>
        <w:rPr>
          <w:rFonts w:hint="eastAsia" w:ascii="仿宋" w:hAnsi="仿宋" w:eastAsia="仿宋"/>
          <w:kern w:val="0"/>
          <w:sz w:val="32"/>
          <w:szCs w:val="32"/>
        </w:rPr>
        <w:t>2.合同合计金额为：人民币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p>
    <w:p>
      <w:pPr>
        <w:snapToGrid w:val="0"/>
        <w:spacing w:line="360" w:lineRule="auto"/>
        <w:rPr>
          <w:rFonts w:ascii="仿宋" w:hAnsi="仿宋" w:eastAsia="仿宋"/>
          <w:kern w:val="0"/>
          <w:sz w:val="32"/>
          <w:szCs w:val="32"/>
        </w:rPr>
      </w:pPr>
      <w:r>
        <w:rPr>
          <w:rFonts w:hint="eastAsia" w:ascii="仿宋" w:hAnsi="仿宋" w:eastAsia="仿宋"/>
          <w:kern w:val="0"/>
          <w:sz w:val="32"/>
          <w:szCs w:val="32"/>
        </w:rPr>
        <w:t>3.合同合计金额包括完成本项目采购要求、人员要求所产生的全部费用。</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二、质量保证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1.乙方所提供的服务、货物质量应达到响应文件要求和承诺的质量要求。</w:t>
      </w:r>
    </w:p>
    <w:p>
      <w:pPr>
        <w:widowControl/>
        <w:spacing w:line="360" w:lineRule="auto"/>
        <w:ind w:firstLine="640" w:firstLineChars="200"/>
        <w:textAlignment w:val="center"/>
        <w:rPr>
          <w:rFonts w:ascii="仿宋" w:hAnsi="仿宋" w:eastAsia="仿宋"/>
          <w:kern w:val="0"/>
          <w:sz w:val="32"/>
          <w:szCs w:val="32"/>
        </w:rPr>
      </w:pPr>
      <w:r>
        <w:rPr>
          <w:rFonts w:hint="eastAsia" w:ascii="仿宋" w:hAnsi="仿宋" w:eastAsia="仿宋"/>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三、权利保证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1.乙方应保证所提供的货物、服务不会侵犯任何第三方的专利权、商标权、工业设计权或其他权利。</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68"/>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3、货物在交付甲方前发生的风险均由乙方负责。</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四、交付方式与验收</w:t>
      </w:r>
    </w:p>
    <w:p>
      <w:pPr>
        <w:pStyle w:val="10"/>
        <w:spacing w:after="60"/>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1.交货时间：</w:t>
      </w:r>
      <w:r>
        <w:rPr>
          <w:rFonts w:hint="eastAsia" w:ascii="仿宋" w:hAnsi="仿宋" w:eastAsia="仿宋" w:cs="Times New Roman"/>
          <w:kern w:val="0"/>
          <w:sz w:val="32"/>
          <w:szCs w:val="32"/>
          <w:u w:val="single"/>
        </w:rPr>
        <w:t xml:space="preserve">                           </w:t>
      </w:r>
      <w:r>
        <w:rPr>
          <w:rFonts w:hint="eastAsia" w:ascii="仿宋" w:hAnsi="仿宋" w:eastAsia="仿宋" w:cs="Times New Roman"/>
          <w:kern w:val="0"/>
          <w:sz w:val="32"/>
          <w:szCs w:val="32"/>
        </w:rPr>
        <w:t>。</w:t>
      </w:r>
    </w:p>
    <w:p>
      <w:pPr>
        <w:pStyle w:val="10"/>
        <w:spacing w:after="60"/>
        <w:ind w:firstLine="800" w:firstLineChars="250"/>
        <w:rPr>
          <w:rFonts w:ascii="仿宋" w:hAnsi="仿宋" w:eastAsia="仿宋" w:cs="Times New Roman"/>
          <w:kern w:val="0"/>
          <w:sz w:val="32"/>
          <w:szCs w:val="32"/>
        </w:rPr>
      </w:pPr>
      <w:r>
        <w:rPr>
          <w:rFonts w:hint="eastAsia" w:ascii="仿宋" w:hAnsi="仿宋" w:eastAsia="仿宋" w:cs="Times New Roman"/>
          <w:kern w:val="0"/>
          <w:sz w:val="32"/>
          <w:szCs w:val="32"/>
        </w:rPr>
        <w:t>2.交货地址：甲方指定地址。</w:t>
      </w:r>
    </w:p>
    <w:p>
      <w:pPr>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3.要求本次项目所采购的货物为全新的包装，由供应商安排专车运输。由此产生的运输费、安装费、税费等相关费用由乙方承担。</w:t>
      </w:r>
    </w:p>
    <w:p>
      <w:pPr>
        <w:snapToGrid w:val="0"/>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4.乙方提供不符合响应文件和本合同规定的货物，甲方有权拒绝接受。</w:t>
      </w:r>
    </w:p>
    <w:p>
      <w:pPr>
        <w:spacing w:line="360" w:lineRule="auto"/>
        <w:ind w:firstLine="800" w:firstLineChars="250"/>
        <w:rPr>
          <w:rFonts w:ascii="仿宋" w:hAnsi="仿宋" w:eastAsia="仿宋"/>
          <w:kern w:val="0"/>
          <w:sz w:val="32"/>
          <w:szCs w:val="32"/>
        </w:rPr>
      </w:pPr>
      <w:r>
        <w:rPr>
          <w:rFonts w:hint="eastAsia" w:ascii="仿宋" w:hAnsi="仿宋" w:eastAsia="仿宋"/>
          <w:kern w:val="0"/>
          <w:sz w:val="32"/>
          <w:szCs w:val="32"/>
        </w:rPr>
        <w:t>5.履约验收要求：要求本次项目所提供的货物为全新、合格的、满足本项目需求及要求的货物，并符合国家有关质量安全标准的产品；乙方提供的货物、服务必须经甲方验收，不符合甲方要求的，乙方应立即整改直至符合采购方要求，否则甲方不予结算。</w:t>
      </w:r>
    </w:p>
    <w:p>
      <w:pPr>
        <w:spacing w:line="360" w:lineRule="auto"/>
        <w:ind w:firstLine="803" w:firstLineChars="250"/>
        <w:rPr>
          <w:rFonts w:ascii="仿宋" w:hAnsi="仿宋" w:eastAsia="仿宋"/>
          <w:b/>
          <w:sz w:val="32"/>
          <w:szCs w:val="32"/>
        </w:rPr>
      </w:pPr>
      <w:r>
        <w:rPr>
          <w:rFonts w:hint="eastAsia" w:ascii="仿宋" w:hAnsi="仿宋" w:eastAsia="仿宋"/>
          <w:b/>
          <w:sz w:val="32"/>
          <w:szCs w:val="32"/>
        </w:rPr>
        <w:t>五、付款方式</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1.资金性质：财政性资金。</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2.付款方式：验收合格后甲方支付货款，付款方式：银行转账支付。</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3.合同价应为现场交货价，包括：</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（1）货物及标准附件、备品备件、专用工具的价格。</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（2）运输、装卸、调试、培训、技术支持、售后服务等费用。</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（3）必要的保险费用、聘请专家费用和各项税费。</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六、税费</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本合同执行中相关的一切税费均由乙方承担。</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七、售后服务</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乙方应</w:t>
      </w:r>
      <w:r>
        <w:rPr>
          <w:rFonts w:ascii="仿宋" w:hAnsi="仿宋" w:eastAsia="仿宋"/>
          <w:kern w:val="0"/>
          <w:sz w:val="32"/>
          <w:szCs w:val="32"/>
        </w:rPr>
        <w:t>按国家有关规定及厂家承诺实行“三包”，要求</w:t>
      </w:r>
      <w:r>
        <w:rPr>
          <w:rFonts w:hint="eastAsia" w:ascii="仿宋" w:hAnsi="仿宋" w:eastAsia="仿宋"/>
          <w:kern w:val="0"/>
          <w:sz w:val="32"/>
          <w:szCs w:val="32"/>
        </w:rPr>
        <w:t>负责</w:t>
      </w:r>
      <w:r>
        <w:rPr>
          <w:rFonts w:ascii="仿宋" w:hAnsi="仿宋" w:eastAsia="仿宋"/>
          <w:kern w:val="0"/>
          <w:sz w:val="32"/>
          <w:szCs w:val="32"/>
        </w:rPr>
        <w:t>送货上门、安装调试至验收合格</w:t>
      </w:r>
      <w:r>
        <w:rPr>
          <w:rFonts w:hint="eastAsia" w:ascii="仿宋" w:hAnsi="仿宋" w:eastAsia="仿宋"/>
          <w:kern w:val="0"/>
          <w:sz w:val="32"/>
          <w:szCs w:val="32"/>
        </w:rPr>
        <w:t>。</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货物质保期：按乙方响应文件有关规定。</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八、违约责任</w:t>
      </w:r>
    </w:p>
    <w:p>
      <w:pPr>
        <w:autoSpaceDN w:val="0"/>
        <w:spacing w:line="360" w:lineRule="auto"/>
        <w:ind w:firstLine="560"/>
        <w:rPr>
          <w:rFonts w:ascii="仿宋" w:hAnsi="仿宋" w:eastAsia="仿宋"/>
          <w:kern w:val="0"/>
          <w:sz w:val="32"/>
          <w:szCs w:val="32"/>
        </w:rPr>
      </w:pPr>
      <w:r>
        <w:rPr>
          <w:rFonts w:hint="eastAsia" w:ascii="仿宋" w:hAnsi="仿宋" w:eastAsia="仿宋"/>
          <w:kern w:val="0"/>
          <w:sz w:val="32"/>
          <w:szCs w:val="32"/>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九、不可抗力事件处理</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3.不可抗力事件延续一百二十天以上，双方应通过友好协商，确定是否继续履行合同。</w:t>
      </w:r>
    </w:p>
    <w:p>
      <w:pPr>
        <w:pStyle w:val="68"/>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sz w:val="32"/>
          <w:szCs w:val="32"/>
        </w:rPr>
      </w:pPr>
      <w:r>
        <w:rPr>
          <w:rFonts w:hint="eastAsia" w:ascii="仿宋" w:hAnsi="仿宋" w:eastAsia="仿宋"/>
          <w:b/>
          <w:sz w:val="32"/>
          <w:szCs w:val="32"/>
        </w:rPr>
        <w:t>十</w:t>
      </w:r>
      <w:r>
        <w:rPr>
          <w:rFonts w:hint="eastAsia" w:ascii="仿宋" w:hAnsi="仿宋" w:eastAsia="仿宋" w:cs="Times New Roman"/>
          <w:b/>
          <w:kern w:val="2"/>
          <w:sz w:val="32"/>
          <w:szCs w:val="32"/>
        </w:rPr>
        <w:t>、争议解决方式</w:t>
      </w:r>
    </w:p>
    <w:p>
      <w:pPr>
        <w:autoSpaceDE w:val="0"/>
        <w:autoSpaceDN w:val="0"/>
        <w:adjustRightInd w:val="0"/>
        <w:spacing w:line="360" w:lineRule="auto"/>
        <w:ind w:firstLine="480" w:firstLineChars="150"/>
        <w:jc w:val="left"/>
        <w:rPr>
          <w:rFonts w:ascii="仿宋" w:hAnsi="仿宋" w:eastAsia="仿宋"/>
          <w:kern w:val="0"/>
          <w:sz w:val="32"/>
          <w:szCs w:val="32"/>
        </w:rPr>
      </w:pPr>
      <w:r>
        <w:rPr>
          <w:rFonts w:hint="eastAsia" w:ascii="仿宋" w:hAnsi="仿宋" w:eastAsia="仿宋"/>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sz w:val="32"/>
          <w:szCs w:val="32"/>
        </w:rPr>
      </w:pPr>
      <w:r>
        <w:rPr>
          <w:rFonts w:hint="eastAsia" w:ascii="仿宋" w:hAnsi="仿宋" w:eastAsia="仿宋"/>
          <w:b/>
          <w:sz w:val="32"/>
          <w:szCs w:val="32"/>
        </w:rPr>
        <w:t>十一、合同</w:t>
      </w:r>
      <w:r>
        <w:rPr>
          <w:rFonts w:ascii="仿宋" w:hAnsi="仿宋" w:eastAsia="仿宋"/>
          <w:b/>
          <w:sz w:val="32"/>
          <w:szCs w:val="32"/>
        </w:rPr>
        <w:t>生效及</w:t>
      </w:r>
      <w:r>
        <w:rPr>
          <w:rFonts w:hint="eastAsia" w:ascii="仿宋" w:hAnsi="仿宋" w:eastAsia="仿宋"/>
          <w:b/>
          <w:sz w:val="32"/>
          <w:szCs w:val="32"/>
        </w:rPr>
        <w:t>其他</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1.本合同一式</w:t>
      </w:r>
      <w:r>
        <w:rPr>
          <w:rFonts w:hint="eastAsia" w:ascii="仿宋" w:hAnsi="仿宋" w:eastAsia="仿宋"/>
          <w:kern w:val="0"/>
          <w:sz w:val="32"/>
          <w:szCs w:val="32"/>
          <w:u w:val="single"/>
        </w:rPr>
        <w:t>陆</w:t>
      </w:r>
      <w:r>
        <w:rPr>
          <w:rFonts w:hint="eastAsia" w:ascii="仿宋" w:hAnsi="仿宋" w:eastAsia="仿宋"/>
          <w:kern w:val="0"/>
          <w:sz w:val="32"/>
          <w:szCs w:val="32"/>
        </w:rPr>
        <w:t>份，甲方</w:t>
      </w:r>
      <w:r>
        <w:rPr>
          <w:rFonts w:hint="eastAsia" w:ascii="仿宋" w:hAnsi="仿宋" w:eastAsia="仿宋"/>
          <w:kern w:val="0"/>
          <w:sz w:val="32"/>
          <w:szCs w:val="32"/>
          <w:u w:val="single"/>
        </w:rPr>
        <w:t>肆</w:t>
      </w:r>
      <w:r>
        <w:rPr>
          <w:rFonts w:hint="eastAsia" w:ascii="仿宋" w:hAnsi="仿宋" w:eastAsia="仿宋"/>
          <w:kern w:val="0"/>
          <w:sz w:val="32"/>
          <w:szCs w:val="32"/>
        </w:rPr>
        <w:t>份，乙方</w:t>
      </w:r>
      <w:r>
        <w:rPr>
          <w:rFonts w:hint="eastAsia" w:ascii="仿宋" w:hAnsi="仿宋" w:eastAsia="仿宋"/>
          <w:kern w:val="0"/>
          <w:sz w:val="32"/>
          <w:szCs w:val="32"/>
          <w:u w:val="single"/>
        </w:rPr>
        <w:t>贰</w:t>
      </w:r>
      <w:r>
        <w:rPr>
          <w:rFonts w:hint="eastAsia" w:ascii="仿宋" w:hAnsi="仿宋" w:eastAsia="仿宋"/>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 xml:space="preserve">2.本合同甲乙双方签字盖章后生效。 </w:t>
      </w:r>
    </w:p>
    <w:tbl>
      <w:tblPr>
        <w:tblStyle w:val="1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kern w:val="0"/>
                <w:sz w:val="32"/>
                <w:szCs w:val="32"/>
              </w:rPr>
            </w:pPr>
            <w:r>
              <w:rPr>
                <w:rFonts w:hint="eastAsia" w:ascii="仿宋" w:hAnsi="仿宋" w:eastAsia="仿宋"/>
                <w:kern w:val="0"/>
                <w:sz w:val="32"/>
                <w:szCs w:val="32"/>
              </w:rPr>
              <w:t>甲方(盖章)：</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rPr>
                <w:rFonts w:ascii="仿宋" w:hAnsi="仿宋" w:eastAsia="仿宋"/>
                <w:kern w:val="0"/>
                <w:sz w:val="32"/>
                <w:szCs w:val="32"/>
              </w:rPr>
            </w:pPr>
            <w:r>
              <w:rPr>
                <w:rFonts w:hint="eastAsia" w:ascii="仿宋" w:hAnsi="仿宋" w:eastAsia="仿宋"/>
                <w:kern w:val="0"/>
                <w:sz w:val="32"/>
                <w:szCs w:val="32"/>
              </w:rPr>
              <w:t>或委托代理人：</w:t>
            </w:r>
          </w:p>
          <w:p>
            <w:pPr>
              <w:spacing w:line="360" w:lineRule="auto"/>
              <w:rPr>
                <w:rFonts w:ascii="仿宋" w:hAnsi="仿宋" w:eastAsia="仿宋"/>
                <w:kern w:val="0"/>
                <w:sz w:val="32"/>
                <w:szCs w:val="32"/>
              </w:rPr>
            </w:pPr>
            <w:r>
              <w:rPr>
                <w:rFonts w:hint="eastAsia" w:ascii="仿宋" w:hAnsi="仿宋" w:eastAsia="仿宋"/>
                <w:kern w:val="0"/>
                <w:sz w:val="32"/>
                <w:szCs w:val="32"/>
              </w:rPr>
              <w:t>联系电话：</w:t>
            </w:r>
          </w:p>
          <w:p>
            <w:pPr>
              <w:pStyle w:val="16"/>
              <w:spacing w:line="360" w:lineRule="auto"/>
              <w:ind w:left="980" w:firstLine="320"/>
              <w:rPr>
                <w:rFonts w:ascii="仿宋" w:hAnsi="仿宋" w:eastAsia="仿宋"/>
                <w:kern w:val="0"/>
                <w:sz w:val="32"/>
                <w:szCs w:val="32"/>
              </w:rPr>
            </w:pPr>
          </w:p>
          <w:p>
            <w:pPr>
              <w:spacing w:line="360" w:lineRule="auto"/>
              <w:rPr>
                <w:rFonts w:ascii="仿宋" w:hAnsi="仿宋" w:eastAsia="仿宋"/>
                <w:kern w:val="0"/>
                <w:sz w:val="32"/>
                <w:szCs w:val="32"/>
              </w:rPr>
            </w:pPr>
            <w:r>
              <w:rPr>
                <w:rFonts w:hint="eastAsia" w:ascii="仿宋" w:hAnsi="仿宋" w:eastAsia="仿宋"/>
                <w:kern w:val="0"/>
                <w:sz w:val="32"/>
                <w:szCs w:val="32"/>
              </w:rPr>
              <w:t>地址：</w:t>
            </w:r>
          </w:p>
          <w:p>
            <w:pPr>
              <w:pStyle w:val="16"/>
              <w:spacing w:line="360" w:lineRule="auto"/>
              <w:ind w:left="980" w:firstLine="320"/>
              <w:rPr>
                <w:rFonts w:ascii="仿宋" w:hAnsi="仿宋" w:eastAsia="仿宋"/>
                <w:kern w:val="0"/>
                <w:sz w:val="32"/>
                <w:szCs w:val="32"/>
              </w:rPr>
            </w:pPr>
          </w:p>
          <w:p>
            <w:pPr>
              <w:pStyle w:val="10"/>
              <w:spacing w:line="360" w:lineRule="auto"/>
              <w:ind w:firstLine="562"/>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p>
          <w:p>
            <w:pPr>
              <w:pStyle w:val="10"/>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日期：    年   月   日</w:t>
            </w:r>
          </w:p>
        </w:tc>
        <w:tc>
          <w:tcPr>
            <w:tcW w:w="4441" w:type="dxa"/>
          </w:tcPr>
          <w:p>
            <w:pPr>
              <w:spacing w:line="360" w:lineRule="auto"/>
              <w:rPr>
                <w:rFonts w:ascii="仿宋" w:hAnsi="仿宋" w:eastAsia="仿宋"/>
                <w:kern w:val="0"/>
                <w:sz w:val="32"/>
                <w:szCs w:val="32"/>
              </w:rPr>
            </w:pPr>
            <w:r>
              <w:rPr>
                <w:rFonts w:hint="eastAsia" w:ascii="仿宋" w:hAnsi="仿宋" w:eastAsia="仿宋"/>
                <w:kern w:val="0"/>
                <w:sz w:val="32"/>
                <w:szCs w:val="32"/>
              </w:rPr>
              <w:t xml:space="preserve">乙方(盖章）：  </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jc w:val="left"/>
              <w:rPr>
                <w:rFonts w:ascii="仿宋" w:hAnsi="仿宋" w:eastAsia="仿宋"/>
                <w:kern w:val="0"/>
                <w:sz w:val="32"/>
                <w:szCs w:val="32"/>
              </w:rPr>
            </w:pPr>
            <w:r>
              <w:rPr>
                <w:rFonts w:hint="eastAsia" w:ascii="仿宋" w:hAnsi="仿宋" w:eastAsia="仿宋"/>
                <w:kern w:val="0"/>
                <w:sz w:val="32"/>
                <w:szCs w:val="32"/>
              </w:rPr>
              <w:t>或委托代理人：</w:t>
            </w:r>
          </w:p>
          <w:p>
            <w:pPr>
              <w:spacing w:line="360" w:lineRule="auto"/>
              <w:jc w:val="left"/>
              <w:rPr>
                <w:rFonts w:ascii="仿宋" w:hAnsi="仿宋" w:eastAsia="仿宋"/>
                <w:kern w:val="0"/>
                <w:sz w:val="32"/>
                <w:szCs w:val="32"/>
              </w:rPr>
            </w:pPr>
            <w:r>
              <w:rPr>
                <w:rFonts w:hint="eastAsia" w:ascii="仿宋" w:hAnsi="仿宋" w:eastAsia="仿宋"/>
                <w:kern w:val="0"/>
                <w:sz w:val="32"/>
                <w:szCs w:val="32"/>
              </w:rPr>
              <w:t>开户行：</w:t>
            </w:r>
          </w:p>
          <w:p>
            <w:pPr>
              <w:spacing w:line="360" w:lineRule="auto"/>
              <w:jc w:val="left"/>
              <w:rPr>
                <w:rFonts w:ascii="仿宋" w:hAnsi="仿宋" w:eastAsia="仿宋"/>
                <w:kern w:val="0"/>
                <w:sz w:val="32"/>
                <w:szCs w:val="32"/>
              </w:rPr>
            </w:pPr>
            <w:r>
              <w:rPr>
                <w:rFonts w:hint="eastAsia" w:ascii="仿宋" w:hAnsi="仿宋" w:eastAsia="仿宋"/>
                <w:kern w:val="0"/>
                <w:sz w:val="32"/>
                <w:szCs w:val="32"/>
              </w:rPr>
              <w:t>银行账号：</w:t>
            </w:r>
          </w:p>
          <w:p>
            <w:pPr>
              <w:spacing w:line="360" w:lineRule="auto"/>
              <w:jc w:val="left"/>
              <w:rPr>
                <w:rFonts w:ascii="仿宋" w:hAnsi="仿宋" w:eastAsia="仿宋"/>
                <w:kern w:val="0"/>
                <w:sz w:val="32"/>
                <w:szCs w:val="32"/>
              </w:rPr>
            </w:pPr>
            <w:r>
              <w:rPr>
                <w:rFonts w:hint="eastAsia" w:ascii="仿宋" w:hAnsi="仿宋" w:eastAsia="仿宋"/>
                <w:kern w:val="0"/>
                <w:sz w:val="32"/>
                <w:szCs w:val="32"/>
              </w:rPr>
              <w:t>联系电话：</w:t>
            </w:r>
          </w:p>
          <w:p>
            <w:pPr>
              <w:spacing w:line="360" w:lineRule="auto"/>
              <w:jc w:val="left"/>
              <w:rPr>
                <w:rFonts w:ascii="仿宋" w:hAnsi="仿宋" w:eastAsia="仿宋"/>
                <w:kern w:val="0"/>
                <w:sz w:val="32"/>
                <w:szCs w:val="32"/>
              </w:rPr>
            </w:pPr>
            <w:r>
              <w:rPr>
                <w:rFonts w:hint="eastAsia" w:ascii="仿宋" w:hAnsi="仿宋" w:eastAsia="仿宋"/>
                <w:kern w:val="0"/>
                <w:sz w:val="32"/>
                <w:szCs w:val="32"/>
              </w:rPr>
              <w:t>地址：</w:t>
            </w: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r>
              <w:rPr>
                <w:rFonts w:hint="eastAsia" w:ascii="仿宋" w:hAnsi="仿宋" w:eastAsia="仿宋"/>
                <w:kern w:val="0"/>
                <w:sz w:val="32"/>
                <w:szCs w:val="32"/>
              </w:rPr>
              <w:t>日期：    年   月   日</w:t>
            </w:r>
          </w:p>
        </w:tc>
      </w:tr>
    </w:tbl>
    <w:p>
      <w:pPr>
        <w:spacing w:line="360" w:lineRule="auto"/>
        <w:rPr>
          <w:rFonts w:ascii="仿宋" w:hAnsi="仿宋" w:eastAsia="仿宋"/>
          <w:kern w:val="0"/>
          <w:sz w:val="32"/>
          <w:szCs w:val="32"/>
        </w:rPr>
      </w:pPr>
    </w:p>
    <w:p>
      <w:pPr>
        <w:snapToGrid w:val="0"/>
        <w:ind w:firstLine="560" w:firstLineChars="200"/>
        <w:rPr>
          <w:rFonts w:ascii="仿宋" w:hAnsi="仿宋" w:eastAsia="仿宋" w:cs="仿宋"/>
          <w:sz w:val="28"/>
          <w:szCs w:val="28"/>
        </w:rPr>
      </w:pPr>
    </w:p>
    <w:p>
      <w:pPr>
        <w:pStyle w:val="3"/>
        <w:jc w:val="center"/>
        <w:rPr>
          <w:rFonts w:asciiTheme="majorEastAsia" w:hAnsiTheme="majorEastAsia" w:eastAsiaTheme="majorEastAsia"/>
          <w:b w:val="0"/>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89D0352-2E7C-408A-8120-75095F9E2455}"/>
  </w:font>
  <w:font w:name="黑体">
    <w:panose1 w:val="02010609060101010101"/>
    <w:charset w:val="86"/>
    <w:family w:val="auto"/>
    <w:pitch w:val="default"/>
    <w:sig w:usb0="800002BF" w:usb1="38CF7CFA" w:usb2="00000016" w:usb3="00000000" w:csb0="00040001" w:csb1="00000000"/>
    <w:embedRegular r:id="rId2" w:fontKey="{860E9BC2-023E-4A8B-BA90-717E78212B7C}"/>
  </w:font>
  <w:font w:name="Courier New">
    <w:panose1 w:val="02070309020205020404"/>
    <w:charset w:val="01"/>
    <w:family w:val="modern"/>
    <w:pitch w:val="default"/>
    <w:sig w:usb0="E0002EFF" w:usb1="C0007843" w:usb2="00000009" w:usb3="00000000" w:csb0="400001FF" w:csb1="FFFF0000"/>
    <w:embedRegular r:id="rId3" w:fontKey="{287C910F-CDF0-43F0-8051-DB229B151AA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EA507D4D-C531-45DC-958F-BDAF2B9575CE}"/>
  </w:font>
  <w:font w:name="方正小标宋简体">
    <w:panose1 w:val="03000509000000000000"/>
    <w:charset w:val="86"/>
    <w:family w:val="script"/>
    <w:pitch w:val="default"/>
    <w:sig w:usb0="00000001" w:usb1="080E0000" w:usb2="00000000" w:usb3="00000000" w:csb0="00040000" w:csb1="00000000"/>
    <w:embedRegular r:id="rId5" w:fontKey="{B0FD3E8D-D24C-455F-A79A-E248D00055F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abstractNum w:abstractNumId="1">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xMzZkODk1YjkwMGFkNmM0ZmZlYjU2NWMzZDYwZWEifQ=="/>
  </w:docVars>
  <w:rsids>
    <w:rsidRoot w:val="0087717D"/>
    <w:rsid w:val="00001137"/>
    <w:rsid w:val="00004048"/>
    <w:rsid w:val="00005022"/>
    <w:rsid w:val="00005B53"/>
    <w:rsid w:val="000071F8"/>
    <w:rsid w:val="0000755F"/>
    <w:rsid w:val="000115F8"/>
    <w:rsid w:val="00014713"/>
    <w:rsid w:val="000229F0"/>
    <w:rsid w:val="00030618"/>
    <w:rsid w:val="00033A2A"/>
    <w:rsid w:val="00045722"/>
    <w:rsid w:val="000458C5"/>
    <w:rsid w:val="00047B8A"/>
    <w:rsid w:val="00051EF0"/>
    <w:rsid w:val="00066809"/>
    <w:rsid w:val="00076975"/>
    <w:rsid w:val="00076ED4"/>
    <w:rsid w:val="00083B1A"/>
    <w:rsid w:val="000868A4"/>
    <w:rsid w:val="000909C5"/>
    <w:rsid w:val="00090E04"/>
    <w:rsid w:val="00091CF6"/>
    <w:rsid w:val="000A1481"/>
    <w:rsid w:val="000A2FC3"/>
    <w:rsid w:val="000B1FE7"/>
    <w:rsid w:val="000C08AC"/>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10B2"/>
    <w:rsid w:val="0014517F"/>
    <w:rsid w:val="001475EE"/>
    <w:rsid w:val="00150714"/>
    <w:rsid w:val="0015139F"/>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5E5B"/>
    <w:rsid w:val="002058D3"/>
    <w:rsid w:val="00216674"/>
    <w:rsid w:val="00226FCD"/>
    <w:rsid w:val="0023043B"/>
    <w:rsid w:val="00231D73"/>
    <w:rsid w:val="002446AB"/>
    <w:rsid w:val="00250554"/>
    <w:rsid w:val="00262B18"/>
    <w:rsid w:val="00263E5B"/>
    <w:rsid w:val="002865BB"/>
    <w:rsid w:val="002958AA"/>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39C"/>
    <w:rsid w:val="0031668E"/>
    <w:rsid w:val="00317534"/>
    <w:rsid w:val="00323766"/>
    <w:rsid w:val="003340C7"/>
    <w:rsid w:val="00340842"/>
    <w:rsid w:val="00341769"/>
    <w:rsid w:val="00341EE2"/>
    <w:rsid w:val="003504BB"/>
    <w:rsid w:val="00353F6C"/>
    <w:rsid w:val="003554C1"/>
    <w:rsid w:val="003576A1"/>
    <w:rsid w:val="003639DF"/>
    <w:rsid w:val="00363EB7"/>
    <w:rsid w:val="003721BB"/>
    <w:rsid w:val="003953A7"/>
    <w:rsid w:val="00397190"/>
    <w:rsid w:val="003A7AB5"/>
    <w:rsid w:val="003C1A58"/>
    <w:rsid w:val="003C1FB7"/>
    <w:rsid w:val="003C505D"/>
    <w:rsid w:val="003D0201"/>
    <w:rsid w:val="003D7C45"/>
    <w:rsid w:val="003E685F"/>
    <w:rsid w:val="00402252"/>
    <w:rsid w:val="00405818"/>
    <w:rsid w:val="00415D58"/>
    <w:rsid w:val="00416F0C"/>
    <w:rsid w:val="004207F9"/>
    <w:rsid w:val="00421C6A"/>
    <w:rsid w:val="00425D7F"/>
    <w:rsid w:val="004262EF"/>
    <w:rsid w:val="00426325"/>
    <w:rsid w:val="004264B1"/>
    <w:rsid w:val="00430571"/>
    <w:rsid w:val="004306BC"/>
    <w:rsid w:val="00434DE1"/>
    <w:rsid w:val="00435BE4"/>
    <w:rsid w:val="00437AE2"/>
    <w:rsid w:val="00440FED"/>
    <w:rsid w:val="00447F8C"/>
    <w:rsid w:val="00450D7A"/>
    <w:rsid w:val="00455181"/>
    <w:rsid w:val="00455697"/>
    <w:rsid w:val="00456C1A"/>
    <w:rsid w:val="004664A6"/>
    <w:rsid w:val="00470386"/>
    <w:rsid w:val="00470C09"/>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58A2"/>
    <w:rsid w:val="005760B1"/>
    <w:rsid w:val="00587785"/>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26B7D"/>
    <w:rsid w:val="00636B18"/>
    <w:rsid w:val="0063717B"/>
    <w:rsid w:val="00640454"/>
    <w:rsid w:val="00642534"/>
    <w:rsid w:val="006440B7"/>
    <w:rsid w:val="006474A4"/>
    <w:rsid w:val="00652A60"/>
    <w:rsid w:val="00656EF9"/>
    <w:rsid w:val="00671BDD"/>
    <w:rsid w:val="00672CD7"/>
    <w:rsid w:val="00687915"/>
    <w:rsid w:val="00690B41"/>
    <w:rsid w:val="0069142F"/>
    <w:rsid w:val="0069352B"/>
    <w:rsid w:val="006A0A76"/>
    <w:rsid w:val="006A284E"/>
    <w:rsid w:val="006B3C41"/>
    <w:rsid w:val="006B66E7"/>
    <w:rsid w:val="006B727D"/>
    <w:rsid w:val="006C739F"/>
    <w:rsid w:val="006D46C4"/>
    <w:rsid w:val="006E17D9"/>
    <w:rsid w:val="006F0F43"/>
    <w:rsid w:val="006F5487"/>
    <w:rsid w:val="00701CFA"/>
    <w:rsid w:val="00703718"/>
    <w:rsid w:val="00705D71"/>
    <w:rsid w:val="00707065"/>
    <w:rsid w:val="00714CDC"/>
    <w:rsid w:val="0071671A"/>
    <w:rsid w:val="00717151"/>
    <w:rsid w:val="00724D9A"/>
    <w:rsid w:val="00754E9D"/>
    <w:rsid w:val="007560A6"/>
    <w:rsid w:val="00760456"/>
    <w:rsid w:val="00770398"/>
    <w:rsid w:val="00784BD4"/>
    <w:rsid w:val="0079001C"/>
    <w:rsid w:val="00790DA2"/>
    <w:rsid w:val="007953AD"/>
    <w:rsid w:val="007A4968"/>
    <w:rsid w:val="007A62A8"/>
    <w:rsid w:val="007A7137"/>
    <w:rsid w:val="007A7214"/>
    <w:rsid w:val="007B126C"/>
    <w:rsid w:val="007B31BF"/>
    <w:rsid w:val="007B597D"/>
    <w:rsid w:val="007C1698"/>
    <w:rsid w:val="007C3016"/>
    <w:rsid w:val="007C752A"/>
    <w:rsid w:val="007D01A2"/>
    <w:rsid w:val="007D04D6"/>
    <w:rsid w:val="007E0963"/>
    <w:rsid w:val="007E66F8"/>
    <w:rsid w:val="007F0568"/>
    <w:rsid w:val="007F077D"/>
    <w:rsid w:val="007F2C4E"/>
    <w:rsid w:val="007F645A"/>
    <w:rsid w:val="00802DD5"/>
    <w:rsid w:val="00806971"/>
    <w:rsid w:val="00811FA8"/>
    <w:rsid w:val="00812D4D"/>
    <w:rsid w:val="00813568"/>
    <w:rsid w:val="0081736E"/>
    <w:rsid w:val="00825D3B"/>
    <w:rsid w:val="00832F11"/>
    <w:rsid w:val="00836EDF"/>
    <w:rsid w:val="00840985"/>
    <w:rsid w:val="00840A7F"/>
    <w:rsid w:val="008449A7"/>
    <w:rsid w:val="00844A81"/>
    <w:rsid w:val="00844FF3"/>
    <w:rsid w:val="00846283"/>
    <w:rsid w:val="00847576"/>
    <w:rsid w:val="0085046B"/>
    <w:rsid w:val="00851185"/>
    <w:rsid w:val="00853454"/>
    <w:rsid w:val="008605A3"/>
    <w:rsid w:val="008651EF"/>
    <w:rsid w:val="00867D73"/>
    <w:rsid w:val="00876649"/>
    <w:rsid w:val="0087717D"/>
    <w:rsid w:val="00877F5B"/>
    <w:rsid w:val="0089355D"/>
    <w:rsid w:val="008940D3"/>
    <w:rsid w:val="00894657"/>
    <w:rsid w:val="00894E30"/>
    <w:rsid w:val="0089541C"/>
    <w:rsid w:val="00895FE3"/>
    <w:rsid w:val="008A5082"/>
    <w:rsid w:val="008A530F"/>
    <w:rsid w:val="008B3EAC"/>
    <w:rsid w:val="008C529E"/>
    <w:rsid w:val="008C5527"/>
    <w:rsid w:val="008D2633"/>
    <w:rsid w:val="008D296A"/>
    <w:rsid w:val="008D31E4"/>
    <w:rsid w:val="008D398B"/>
    <w:rsid w:val="008D3E5A"/>
    <w:rsid w:val="008E0C5B"/>
    <w:rsid w:val="008F3CD1"/>
    <w:rsid w:val="0090100E"/>
    <w:rsid w:val="00904BBA"/>
    <w:rsid w:val="009050BE"/>
    <w:rsid w:val="00916052"/>
    <w:rsid w:val="00916876"/>
    <w:rsid w:val="00923140"/>
    <w:rsid w:val="0092798F"/>
    <w:rsid w:val="00933E62"/>
    <w:rsid w:val="0094207D"/>
    <w:rsid w:val="00943259"/>
    <w:rsid w:val="009435CC"/>
    <w:rsid w:val="00943EC2"/>
    <w:rsid w:val="00945050"/>
    <w:rsid w:val="00946048"/>
    <w:rsid w:val="00947E50"/>
    <w:rsid w:val="0095394E"/>
    <w:rsid w:val="0095403E"/>
    <w:rsid w:val="009566DD"/>
    <w:rsid w:val="00963B98"/>
    <w:rsid w:val="009648C9"/>
    <w:rsid w:val="00966B46"/>
    <w:rsid w:val="009703D3"/>
    <w:rsid w:val="00971D71"/>
    <w:rsid w:val="00974A6F"/>
    <w:rsid w:val="00976191"/>
    <w:rsid w:val="00980C68"/>
    <w:rsid w:val="009810BB"/>
    <w:rsid w:val="00982CD8"/>
    <w:rsid w:val="00984514"/>
    <w:rsid w:val="00991074"/>
    <w:rsid w:val="009B33BD"/>
    <w:rsid w:val="009B633A"/>
    <w:rsid w:val="009B67D8"/>
    <w:rsid w:val="009C268F"/>
    <w:rsid w:val="009C2E73"/>
    <w:rsid w:val="009D0E74"/>
    <w:rsid w:val="009D1844"/>
    <w:rsid w:val="009D4D59"/>
    <w:rsid w:val="009F2527"/>
    <w:rsid w:val="00A15C4F"/>
    <w:rsid w:val="00A20782"/>
    <w:rsid w:val="00A26426"/>
    <w:rsid w:val="00A35231"/>
    <w:rsid w:val="00A37E79"/>
    <w:rsid w:val="00A40C30"/>
    <w:rsid w:val="00A43622"/>
    <w:rsid w:val="00A502E5"/>
    <w:rsid w:val="00A52261"/>
    <w:rsid w:val="00A537E8"/>
    <w:rsid w:val="00A541B8"/>
    <w:rsid w:val="00A746E7"/>
    <w:rsid w:val="00A828D9"/>
    <w:rsid w:val="00A87F18"/>
    <w:rsid w:val="00A90591"/>
    <w:rsid w:val="00A94362"/>
    <w:rsid w:val="00A94A04"/>
    <w:rsid w:val="00AA2A38"/>
    <w:rsid w:val="00AA329C"/>
    <w:rsid w:val="00AA6D85"/>
    <w:rsid w:val="00AB07BA"/>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2B57"/>
    <w:rsid w:val="00BB55F7"/>
    <w:rsid w:val="00BC6A28"/>
    <w:rsid w:val="00BD013D"/>
    <w:rsid w:val="00BD24CE"/>
    <w:rsid w:val="00BE1199"/>
    <w:rsid w:val="00BE68B8"/>
    <w:rsid w:val="00BF5BE7"/>
    <w:rsid w:val="00C01099"/>
    <w:rsid w:val="00C03A97"/>
    <w:rsid w:val="00C06195"/>
    <w:rsid w:val="00C11067"/>
    <w:rsid w:val="00C145FA"/>
    <w:rsid w:val="00C20A81"/>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54D7"/>
    <w:rsid w:val="00CA43CC"/>
    <w:rsid w:val="00CB6EDE"/>
    <w:rsid w:val="00CC4A76"/>
    <w:rsid w:val="00CC5837"/>
    <w:rsid w:val="00CD16CC"/>
    <w:rsid w:val="00CD292A"/>
    <w:rsid w:val="00CD6F63"/>
    <w:rsid w:val="00CE0537"/>
    <w:rsid w:val="00CE511C"/>
    <w:rsid w:val="00CF14B9"/>
    <w:rsid w:val="00CF1CB1"/>
    <w:rsid w:val="00CF74D3"/>
    <w:rsid w:val="00D02BC4"/>
    <w:rsid w:val="00D03943"/>
    <w:rsid w:val="00D05462"/>
    <w:rsid w:val="00D0546E"/>
    <w:rsid w:val="00D1673E"/>
    <w:rsid w:val="00D20F0A"/>
    <w:rsid w:val="00D2347B"/>
    <w:rsid w:val="00D27974"/>
    <w:rsid w:val="00D30285"/>
    <w:rsid w:val="00D35C1B"/>
    <w:rsid w:val="00D427B4"/>
    <w:rsid w:val="00D43E7A"/>
    <w:rsid w:val="00D60149"/>
    <w:rsid w:val="00D60C92"/>
    <w:rsid w:val="00D62421"/>
    <w:rsid w:val="00D67195"/>
    <w:rsid w:val="00D67C99"/>
    <w:rsid w:val="00D73ED9"/>
    <w:rsid w:val="00D8328B"/>
    <w:rsid w:val="00D87C4A"/>
    <w:rsid w:val="00D955CD"/>
    <w:rsid w:val="00D97B85"/>
    <w:rsid w:val="00DA0923"/>
    <w:rsid w:val="00DA0CBC"/>
    <w:rsid w:val="00DA3216"/>
    <w:rsid w:val="00DA5653"/>
    <w:rsid w:val="00DB056D"/>
    <w:rsid w:val="00DB093A"/>
    <w:rsid w:val="00DB5A4C"/>
    <w:rsid w:val="00DB670C"/>
    <w:rsid w:val="00DC3DA6"/>
    <w:rsid w:val="00DC52A1"/>
    <w:rsid w:val="00DD2203"/>
    <w:rsid w:val="00DD2E0C"/>
    <w:rsid w:val="00DD4AE7"/>
    <w:rsid w:val="00DE6B26"/>
    <w:rsid w:val="00DF3CE3"/>
    <w:rsid w:val="00E00C1A"/>
    <w:rsid w:val="00E034AA"/>
    <w:rsid w:val="00E053BE"/>
    <w:rsid w:val="00E14981"/>
    <w:rsid w:val="00E17D9A"/>
    <w:rsid w:val="00E21177"/>
    <w:rsid w:val="00E337F9"/>
    <w:rsid w:val="00E34BBE"/>
    <w:rsid w:val="00E46AD2"/>
    <w:rsid w:val="00E54615"/>
    <w:rsid w:val="00E56DBD"/>
    <w:rsid w:val="00E636EF"/>
    <w:rsid w:val="00E64B85"/>
    <w:rsid w:val="00E85D57"/>
    <w:rsid w:val="00E9092D"/>
    <w:rsid w:val="00E91382"/>
    <w:rsid w:val="00E95A54"/>
    <w:rsid w:val="00E963A9"/>
    <w:rsid w:val="00E97929"/>
    <w:rsid w:val="00EB1381"/>
    <w:rsid w:val="00EC51EA"/>
    <w:rsid w:val="00EC5CAA"/>
    <w:rsid w:val="00EC67F9"/>
    <w:rsid w:val="00EC72A5"/>
    <w:rsid w:val="00ED0833"/>
    <w:rsid w:val="00ED6306"/>
    <w:rsid w:val="00EE0575"/>
    <w:rsid w:val="00EF4C4A"/>
    <w:rsid w:val="00EF5203"/>
    <w:rsid w:val="00F0440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3A35"/>
    <w:rsid w:val="00FC3D14"/>
    <w:rsid w:val="00FE786C"/>
    <w:rsid w:val="00FE7E1C"/>
    <w:rsid w:val="00FF12DB"/>
    <w:rsid w:val="00FF5260"/>
    <w:rsid w:val="00FF74D4"/>
    <w:rsid w:val="02BF46E1"/>
    <w:rsid w:val="02F72AEC"/>
    <w:rsid w:val="03342D85"/>
    <w:rsid w:val="038D79B7"/>
    <w:rsid w:val="042F4875"/>
    <w:rsid w:val="044E0D5F"/>
    <w:rsid w:val="047D1B6E"/>
    <w:rsid w:val="04BF260B"/>
    <w:rsid w:val="04D9059E"/>
    <w:rsid w:val="060A7F0C"/>
    <w:rsid w:val="095D7F5D"/>
    <w:rsid w:val="097B2056"/>
    <w:rsid w:val="09D744B4"/>
    <w:rsid w:val="09D9449F"/>
    <w:rsid w:val="0A107177"/>
    <w:rsid w:val="0B3C41F9"/>
    <w:rsid w:val="0B4453CD"/>
    <w:rsid w:val="0B6D5B52"/>
    <w:rsid w:val="0B952ADC"/>
    <w:rsid w:val="0BB95CBE"/>
    <w:rsid w:val="0C453A64"/>
    <w:rsid w:val="0D4E1EA3"/>
    <w:rsid w:val="0D664E43"/>
    <w:rsid w:val="0DBB266A"/>
    <w:rsid w:val="0DD036B5"/>
    <w:rsid w:val="0E4E6357"/>
    <w:rsid w:val="0E524011"/>
    <w:rsid w:val="0E986FCF"/>
    <w:rsid w:val="0FC85F3C"/>
    <w:rsid w:val="10030D22"/>
    <w:rsid w:val="106547A9"/>
    <w:rsid w:val="106F0560"/>
    <w:rsid w:val="10E54153"/>
    <w:rsid w:val="114F7185"/>
    <w:rsid w:val="1213761F"/>
    <w:rsid w:val="123B2B57"/>
    <w:rsid w:val="13154713"/>
    <w:rsid w:val="14E5401B"/>
    <w:rsid w:val="15A57173"/>
    <w:rsid w:val="163D0D06"/>
    <w:rsid w:val="167364D6"/>
    <w:rsid w:val="167A1613"/>
    <w:rsid w:val="174C2235"/>
    <w:rsid w:val="188718D8"/>
    <w:rsid w:val="189015C1"/>
    <w:rsid w:val="19324A4D"/>
    <w:rsid w:val="19B17A41"/>
    <w:rsid w:val="19B72B7E"/>
    <w:rsid w:val="1A6B5E42"/>
    <w:rsid w:val="1C142CB3"/>
    <w:rsid w:val="1C4E4B30"/>
    <w:rsid w:val="1C5B5A42"/>
    <w:rsid w:val="1CFD47D3"/>
    <w:rsid w:val="1D602818"/>
    <w:rsid w:val="1D734FDD"/>
    <w:rsid w:val="1D8826E6"/>
    <w:rsid w:val="1DFC5B31"/>
    <w:rsid w:val="1FE65F6B"/>
    <w:rsid w:val="20817E50"/>
    <w:rsid w:val="220D5A31"/>
    <w:rsid w:val="22CA56D0"/>
    <w:rsid w:val="23FD207E"/>
    <w:rsid w:val="241430A6"/>
    <w:rsid w:val="24D36535"/>
    <w:rsid w:val="25775188"/>
    <w:rsid w:val="26BE34C4"/>
    <w:rsid w:val="272A7D7D"/>
    <w:rsid w:val="27515CDC"/>
    <w:rsid w:val="280E605F"/>
    <w:rsid w:val="2AD43590"/>
    <w:rsid w:val="2AFD1204"/>
    <w:rsid w:val="2B7E34FB"/>
    <w:rsid w:val="2BA61F9C"/>
    <w:rsid w:val="2BB81936"/>
    <w:rsid w:val="2D3C23FE"/>
    <w:rsid w:val="2DC43F06"/>
    <w:rsid w:val="2EB16F5A"/>
    <w:rsid w:val="2FA85F14"/>
    <w:rsid w:val="2FCB33F0"/>
    <w:rsid w:val="309C68FD"/>
    <w:rsid w:val="31360F6B"/>
    <w:rsid w:val="332A03DF"/>
    <w:rsid w:val="33641268"/>
    <w:rsid w:val="33A15FD9"/>
    <w:rsid w:val="340C0F9D"/>
    <w:rsid w:val="343706EB"/>
    <w:rsid w:val="35415CC5"/>
    <w:rsid w:val="35793114"/>
    <w:rsid w:val="358F5DF9"/>
    <w:rsid w:val="35B868BA"/>
    <w:rsid w:val="36A73799"/>
    <w:rsid w:val="37240250"/>
    <w:rsid w:val="38593326"/>
    <w:rsid w:val="39F552D0"/>
    <w:rsid w:val="3BD771D7"/>
    <w:rsid w:val="3BF055E2"/>
    <w:rsid w:val="3D931088"/>
    <w:rsid w:val="3DDA730B"/>
    <w:rsid w:val="3DE17339"/>
    <w:rsid w:val="3DE22C35"/>
    <w:rsid w:val="3E646B18"/>
    <w:rsid w:val="3EC2015A"/>
    <w:rsid w:val="3F5D00D8"/>
    <w:rsid w:val="3F7C0431"/>
    <w:rsid w:val="3FA8698D"/>
    <w:rsid w:val="3FFD2EB8"/>
    <w:rsid w:val="40B94D77"/>
    <w:rsid w:val="411B434D"/>
    <w:rsid w:val="42560CE2"/>
    <w:rsid w:val="42595F30"/>
    <w:rsid w:val="42BD5522"/>
    <w:rsid w:val="430F3A6E"/>
    <w:rsid w:val="43340C18"/>
    <w:rsid w:val="435412BA"/>
    <w:rsid w:val="43A47936"/>
    <w:rsid w:val="44150A49"/>
    <w:rsid w:val="448C54BB"/>
    <w:rsid w:val="44A4066B"/>
    <w:rsid w:val="4512577F"/>
    <w:rsid w:val="453C0257"/>
    <w:rsid w:val="45467DAC"/>
    <w:rsid w:val="46D9135D"/>
    <w:rsid w:val="47887B38"/>
    <w:rsid w:val="48C875BA"/>
    <w:rsid w:val="49115557"/>
    <w:rsid w:val="4A3E237C"/>
    <w:rsid w:val="4A787F9A"/>
    <w:rsid w:val="4A8F5981"/>
    <w:rsid w:val="4C383A5C"/>
    <w:rsid w:val="4C51758F"/>
    <w:rsid w:val="4CFE07BC"/>
    <w:rsid w:val="4DFD6E89"/>
    <w:rsid w:val="4E2D2E33"/>
    <w:rsid w:val="4FF9082B"/>
    <w:rsid w:val="50EE68AA"/>
    <w:rsid w:val="51BD001C"/>
    <w:rsid w:val="535B23F4"/>
    <w:rsid w:val="543D3774"/>
    <w:rsid w:val="54AA0992"/>
    <w:rsid w:val="56BC6B02"/>
    <w:rsid w:val="577675F9"/>
    <w:rsid w:val="59576FB6"/>
    <w:rsid w:val="597E09E7"/>
    <w:rsid w:val="59B7586F"/>
    <w:rsid w:val="5A861E4C"/>
    <w:rsid w:val="5AD5570C"/>
    <w:rsid w:val="5B57504B"/>
    <w:rsid w:val="5B7F45A2"/>
    <w:rsid w:val="5C711A3B"/>
    <w:rsid w:val="5C7D2BB8"/>
    <w:rsid w:val="5DD76583"/>
    <w:rsid w:val="5DD80DC3"/>
    <w:rsid w:val="5DDB56A4"/>
    <w:rsid w:val="5E5925BD"/>
    <w:rsid w:val="5E5F4EE4"/>
    <w:rsid w:val="5E9B6682"/>
    <w:rsid w:val="5EC11A00"/>
    <w:rsid w:val="5F180F96"/>
    <w:rsid w:val="5F822615"/>
    <w:rsid w:val="5F9415EA"/>
    <w:rsid w:val="60CD4D9A"/>
    <w:rsid w:val="60D97336"/>
    <w:rsid w:val="60F14539"/>
    <w:rsid w:val="611D46BE"/>
    <w:rsid w:val="61476841"/>
    <w:rsid w:val="614C629E"/>
    <w:rsid w:val="61877154"/>
    <w:rsid w:val="61903FF9"/>
    <w:rsid w:val="61994610"/>
    <w:rsid w:val="635C141B"/>
    <w:rsid w:val="64746C6E"/>
    <w:rsid w:val="64A84B6A"/>
    <w:rsid w:val="65106A2E"/>
    <w:rsid w:val="653B572C"/>
    <w:rsid w:val="65586590"/>
    <w:rsid w:val="66965720"/>
    <w:rsid w:val="67680CC1"/>
    <w:rsid w:val="678E6299"/>
    <w:rsid w:val="6840387F"/>
    <w:rsid w:val="68CA045E"/>
    <w:rsid w:val="68E454D3"/>
    <w:rsid w:val="69F34AD9"/>
    <w:rsid w:val="6AAC36BF"/>
    <w:rsid w:val="6B340066"/>
    <w:rsid w:val="6C501A07"/>
    <w:rsid w:val="6C8E0AE9"/>
    <w:rsid w:val="6F3B384A"/>
    <w:rsid w:val="6F9603E0"/>
    <w:rsid w:val="719170B1"/>
    <w:rsid w:val="71B64AE3"/>
    <w:rsid w:val="71BD19EB"/>
    <w:rsid w:val="721D203F"/>
    <w:rsid w:val="72361A07"/>
    <w:rsid w:val="72435ED2"/>
    <w:rsid w:val="727A5D97"/>
    <w:rsid w:val="72820D88"/>
    <w:rsid w:val="73075151"/>
    <w:rsid w:val="73457EEE"/>
    <w:rsid w:val="73A23E26"/>
    <w:rsid w:val="73DC213A"/>
    <w:rsid w:val="746A6B1A"/>
    <w:rsid w:val="747064D8"/>
    <w:rsid w:val="75206F1D"/>
    <w:rsid w:val="7578360E"/>
    <w:rsid w:val="75B23186"/>
    <w:rsid w:val="76C515AB"/>
    <w:rsid w:val="777663B1"/>
    <w:rsid w:val="778154D2"/>
    <w:rsid w:val="77D74E5D"/>
    <w:rsid w:val="77D93692"/>
    <w:rsid w:val="78673ACC"/>
    <w:rsid w:val="79C30143"/>
    <w:rsid w:val="7A100ABE"/>
    <w:rsid w:val="7A98194F"/>
    <w:rsid w:val="7B5E3716"/>
    <w:rsid w:val="7BA81A06"/>
    <w:rsid w:val="7BC77C70"/>
    <w:rsid w:val="7C190257"/>
    <w:rsid w:val="7C7C0683"/>
    <w:rsid w:val="7C9E6B26"/>
    <w:rsid w:val="7CA54A9F"/>
    <w:rsid w:val="7CB44B57"/>
    <w:rsid w:val="7D1F3A60"/>
    <w:rsid w:val="7E594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6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8"/>
    <w:link w:val="66"/>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9">
    <w:name w:val="Body Text Indent"/>
    <w:basedOn w:val="1"/>
    <w:link w:val="63"/>
    <w:qFormat/>
    <w:uiPriority w:val="0"/>
    <w:pPr>
      <w:ind w:firstLine="830" w:firstLineChars="352"/>
    </w:pPr>
    <w:rPr>
      <w:rFonts w:ascii="仿宋_GB2312" w:eastAsia="仿宋_GB2312"/>
      <w:sz w:val="32"/>
      <w:szCs w:val="20"/>
    </w:rPr>
  </w:style>
  <w:style w:type="paragraph" w:styleId="10">
    <w:name w:val="Plain Text"/>
    <w:basedOn w:val="1"/>
    <w:next w:val="4"/>
    <w:link w:val="62"/>
    <w:qFormat/>
    <w:uiPriority w:val="0"/>
    <w:rPr>
      <w:rFonts w:ascii="宋体" w:hAnsi="Courier New" w:cs="Courier New"/>
      <w:szCs w:val="21"/>
    </w:rPr>
  </w:style>
  <w:style w:type="paragraph" w:styleId="11">
    <w:name w:val="Balloon Text"/>
    <w:basedOn w:val="1"/>
    <w:link w:val="60"/>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7"/>
    <w:link w:val="67"/>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0">
    <w:name w:val="page number"/>
    <w:qFormat/>
    <w:uiPriority w:val="0"/>
    <w:rPr>
      <w:rFonts w:ascii="Times New Roman" w:hAnsi="Times New Roman" w:eastAsia="宋体" w:cs="Times New Roman"/>
    </w:rPr>
  </w:style>
  <w:style w:type="character" w:styleId="21">
    <w:name w:val="FollowedHyperlink"/>
    <w:basedOn w:val="19"/>
    <w:semiHidden/>
    <w:unhideWhenUsed/>
    <w:qFormat/>
    <w:uiPriority w:val="99"/>
    <w:rPr>
      <w:color w:val="800080"/>
      <w:u w:val="single"/>
    </w:rPr>
  </w:style>
  <w:style w:type="character" w:styleId="22">
    <w:name w:val="Hyperlink"/>
    <w:basedOn w:val="19"/>
    <w:semiHidden/>
    <w:unhideWhenUsed/>
    <w:qFormat/>
    <w:uiPriority w:val="99"/>
    <w:rPr>
      <w:color w:val="0000FF"/>
      <w:u w:val="single"/>
    </w:rPr>
  </w:style>
  <w:style w:type="character" w:styleId="23">
    <w:name w:val="annotation reference"/>
    <w:basedOn w:val="19"/>
    <w:semiHidden/>
    <w:unhideWhenUsed/>
    <w:qFormat/>
    <w:uiPriority w:val="99"/>
    <w:rPr>
      <w:sz w:val="21"/>
      <w:szCs w:val="21"/>
    </w:rPr>
  </w:style>
  <w:style w:type="character" w:customStyle="1" w:styleId="24">
    <w:name w:val="页眉 字符"/>
    <w:basedOn w:val="19"/>
    <w:link w:val="13"/>
    <w:qFormat/>
    <w:uiPriority w:val="99"/>
    <w:rPr>
      <w:sz w:val="18"/>
      <w:szCs w:val="18"/>
    </w:rPr>
  </w:style>
  <w:style w:type="character" w:customStyle="1" w:styleId="25">
    <w:name w:val="页脚 字符"/>
    <w:basedOn w:val="19"/>
    <w:link w:val="12"/>
    <w:qFormat/>
    <w:uiPriority w:val="99"/>
    <w:rPr>
      <w:sz w:val="18"/>
      <w:szCs w:val="18"/>
    </w:rPr>
  </w:style>
  <w:style w:type="paragraph" w:customStyle="1" w:styleId="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1">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8">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50">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4">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7">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9">
    <w:name w:val="List Paragraph"/>
    <w:basedOn w:val="1"/>
    <w:qFormat/>
    <w:uiPriority w:val="34"/>
    <w:pPr>
      <w:ind w:firstLine="420" w:firstLineChars="200"/>
    </w:pPr>
  </w:style>
  <w:style w:type="character" w:customStyle="1" w:styleId="60">
    <w:name w:val="批注框文本 字符"/>
    <w:basedOn w:val="19"/>
    <w:link w:val="11"/>
    <w:semiHidden/>
    <w:qFormat/>
    <w:uiPriority w:val="99"/>
    <w:rPr>
      <w:rFonts w:ascii="Times New Roman" w:hAnsi="Times New Roman" w:eastAsia="宋体" w:cs="Times New Roman"/>
      <w:sz w:val="18"/>
      <w:szCs w:val="18"/>
    </w:rPr>
  </w:style>
  <w:style w:type="character" w:customStyle="1" w:styleId="61">
    <w:name w:val="纯文本 Char"/>
    <w:basedOn w:val="19"/>
    <w:qFormat/>
    <w:uiPriority w:val="0"/>
    <w:rPr>
      <w:rFonts w:ascii="宋体" w:hAnsi="Courier New" w:eastAsia="宋体" w:cs="Courier New"/>
      <w:szCs w:val="21"/>
    </w:rPr>
  </w:style>
  <w:style w:type="character" w:customStyle="1" w:styleId="62">
    <w:name w:val="纯文本 字符"/>
    <w:basedOn w:val="19"/>
    <w:link w:val="10"/>
    <w:qFormat/>
    <w:uiPriority w:val="0"/>
    <w:rPr>
      <w:rFonts w:ascii="宋体" w:hAnsi="Courier New" w:eastAsia="宋体" w:cs="Courier New"/>
      <w:szCs w:val="21"/>
    </w:rPr>
  </w:style>
  <w:style w:type="character" w:customStyle="1" w:styleId="63">
    <w:name w:val="正文文本缩进 字符"/>
    <w:basedOn w:val="19"/>
    <w:link w:val="9"/>
    <w:qFormat/>
    <w:uiPriority w:val="0"/>
    <w:rPr>
      <w:rFonts w:ascii="仿宋_GB2312" w:hAnsi="Times New Roman" w:eastAsia="仿宋_GB2312" w:cs="Times New Roman"/>
      <w:sz w:val="32"/>
      <w:szCs w:val="20"/>
    </w:rPr>
  </w:style>
  <w:style w:type="character" w:customStyle="1" w:styleId="64">
    <w:name w:val="标题 2 Char"/>
    <w:basedOn w:val="19"/>
    <w:semiHidden/>
    <w:qFormat/>
    <w:uiPriority w:val="9"/>
    <w:rPr>
      <w:rFonts w:asciiTheme="majorHAnsi" w:hAnsiTheme="majorHAnsi" w:eastAsiaTheme="majorEastAsia" w:cstheme="majorBidi"/>
      <w:b/>
      <w:bCs/>
      <w:sz w:val="32"/>
      <w:szCs w:val="32"/>
    </w:rPr>
  </w:style>
  <w:style w:type="character" w:customStyle="1" w:styleId="65">
    <w:name w:val="标题 2 字符"/>
    <w:basedOn w:val="19"/>
    <w:link w:val="3"/>
    <w:qFormat/>
    <w:uiPriority w:val="9"/>
    <w:rPr>
      <w:rFonts w:ascii="Cambria" w:hAnsi="Cambria" w:eastAsia="宋体" w:cs="Times New Roman"/>
      <w:b/>
      <w:bCs/>
      <w:sz w:val="32"/>
      <w:szCs w:val="32"/>
    </w:rPr>
  </w:style>
  <w:style w:type="character" w:customStyle="1" w:styleId="66">
    <w:name w:val="正文文本 字符"/>
    <w:basedOn w:val="19"/>
    <w:link w:val="7"/>
    <w:qFormat/>
    <w:uiPriority w:val="99"/>
    <w:rPr>
      <w:rFonts w:ascii="Times New Roman" w:hAnsi="Times New Roman" w:eastAsia="宋体" w:cs="Times New Roman"/>
      <w:szCs w:val="24"/>
    </w:rPr>
  </w:style>
  <w:style w:type="character" w:customStyle="1" w:styleId="67">
    <w:name w:val="正文文本首行缩进 字符"/>
    <w:basedOn w:val="66"/>
    <w:link w:val="16"/>
    <w:semiHidden/>
    <w:qFormat/>
    <w:uiPriority w:val="99"/>
    <w:rPr>
      <w:rFonts w:ascii="Times New Roman" w:hAnsi="Times New Roman" w:eastAsia="宋体" w:cs="Times New Roman"/>
      <w:szCs w:val="24"/>
    </w:rPr>
  </w:style>
  <w:style w:type="paragraph" w:customStyle="1" w:styleId="68">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9">
    <w:name w:val="正文内容 Char"/>
    <w:link w:val="70"/>
    <w:qFormat/>
    <w:uiPriority w:val="5"/>
    <w:rPr>
      <w:rFonts w:ascii="Times New Roman" w:hAnsi="Times New Roman"/>
      <w:sz w:val="24"/>
      <w:szCs w:val="24"/>
    </w:rPr>
  </w:style>
  <w:style w:type="paragraph" w:customStyle="1" w:styleId="70">
    <w:name w:val="正文内容"/>
    <w:basedOn w:val="1"/>
    <w:link w:val="69"/>
    <w:qFormat/>
    <w:uiPriority w:val="5"/>
    <w:pPr>
      <w:adjustRightInd w:val="0"/>
      <w:spacing w:line="360" w:lineRule="auto"/>
      <w:ind w:firstLine="200" w:firstLineChars="200"/>
    </w:pPr>
    <w:rPr>
      <w:rFonts w:eastAsiaTheme="minorEastAsia" w:cstheme="minorBidi"/>
      <w:sz w:val="24"/>
    </w:rPr>
  </w:style>
  <w:style w:type="paragraph" w:customStyle="1" w:styleId="71">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7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3">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 21"/>
    <w:basedOn w:val="1"/>
    <w:qFormat/>
    <w:uiPriority w:val="0"/>
    <w:pPr>
      <w:spacing w:after="120" w:line="480" w:lineRule="auto"/>
    </w:pPr>
  </w:style>
  <w:style w:type="paragraph" w:customStyle="1" w:styleId="75">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8337C4-4780-4B5A-BE60-CB4D55B8FD7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1613</Words>
  <Characters>9199</Characters>
  <Lines>76</Lines>
  <Paragraphs>21</Paragraphs>
  <TotalTime>40</TotalTime>
  <ScaleCrop>false</ScaleCrop>
  <LinksUpToDate>false</LinksUpToDate>
  <CharactersWithSpaces>10791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2021-11-08T06:55:00Z</dcterms:created>
  <dc:creator>lenovo</dc:creator>
  <cp:lastModifiedBy>年轻人该有的名字</cp:lastModifiedBy>
  <cp:lastPrinted>2021-11-08T03:25:00Z</cp:lastPrinted>
  <dcterms:modified xsi:type="dcterms:W3CDTF">2023-11-22T07:19:19Z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SaveFontToCloudKey">
    <vt:lpwstr>958527779_btnclosed</vt:lpwstr>
  </property>
  <property fmtid="{D5CDD505-2E9C-101B-9397-08002B2CF9AE}" pid="4" name="ICV">
    <vt:lpwstr>840E1ECAE9C34DF68F67AB2C8A929D0E_13</vt:lpwstr>
  </property>
</Properties>
</file>